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lang w:val="bs-Latn-BA" w:eastAsia="en-US"/>
        </w:rPr>
        <w:id w:val="1545255620"/>
        <w:docPartObj>
          <w:docPartGallery w:val="Cover Pages"/>
          <w:docPartUnique/>
        </w:docPartObj>
      </w:sdtPr>
      <w:sdtEndPr>
        <w:rPr>
          <w:rFonts w:ascii="Arial" w:eastAsia="Calibri" w:hAnsi="Arial" w:cs="Arial"/>
          <w:b/>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4973"/>
            <w:gridCol w:w="2744"/>
            <w:gridCol w:w="2121"/>
          </w:tblGrid>
          <w:tr w:rsidR="00E50358" w:rsidRPr="006C7DFA" w:rsidTr="00E50358">
            <w:tc>
              <w:tcPr>
                <w:tcW w:w="4973" w:type="dxa"/>
                <w:tcBorders>
                  <w:bottom w:val="single" w:sz="18" w:space="0" w:color="808080" w:themeColor="background1" w:themeShade="80"/>
                  <w:right w:val="single" w:sz="18" w:space="0" w:color="808080" w:themeColor="background1" w:themeShade="80"/>
                </w:tcBorders>
              </w:tcPr>
              <w:p w:rsidR="00E50358" w:rsidRPr="006C7DFA" w:rsidRDefault="009F0446" w:rsidP="00E50358">
                <w:pPr>
                  <w:pStyle w:val="NoSpacing"/>
                  <w:rPr>
                    <w:rFonts w:asciiTheme="majorHAnsi" w:eastAsiaTheme="majorEastAsia" w:hAnsiTheme="majorHAnsi" w:cstheme="majorBidi"/>
                    <w:sz w:val="76"/>
                    <w:szCs w:val="72"/>
                    <w:lang w:val="bs-Latn-BA"/>
                  </w:rPr>
                </w:pPr>
                <w:sdt>
                  <w:sdtPr>
                    <w:rPr>
                      <w:rFonts w:asciiTheme="majorHAnsi" w:eastAsiaTheme="majorEastAsia" w:hAnsiTheme="majorHAnsi" w:cstheme="majorBidi"/>
                      <w:sz w:val="90"/>
                      <w:szCs w:val="90"/>
                      <w:lang w:val="bs-Latn-BA"/>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E50358" w:rsidRPr="006C7DFA">
                      <w:rPr>
                        <w:rFonts w:asciiTheme="majorHAnsi" w:eastAsiaTheme="majorEastAsia" w:hAnsiTheme="majorHAnsi" w:cstheme="majorBidi"/>
                        <w:sz w:val="90"/>
                        <w:szCs w:val="90"/>
                        <w:lang w:val="bs-Latn-BA"/>
                      </w:rPr>
                      <w:t>Operativni/ Akcioni plan</w:t>
                    </w:r>
                  </w:sdtContent>
                </w:sdt>
              </w:p>
            </w:tc>
            <w:tc>
              <w:tcPr>
                <w:tcW w:w="5431" w:type="dxa"/>
                <w:gridSpan w:val="2"/>
                <w:tcBorders>
                  <w:left w:val="single" w:sz="18" w:space="0" w:color="808080" w:themeColor="background1" w:themeShade="80"/>
                  <w:bottom w:val="single" w:sz="18" w:space="0" w:color="808080" w:themeColor="background1" w:themeShade="80"/>
                </w:tcBorders>
              </w:tcPr>
              <w:sdt>
                <w:sdtPr>
                  <w:rPr>
                    <w:color w:val="4F81BD" w:themeColor="accent1"/>
                    <w:sz w:val="130"/>
                    <w:szCs w:val="130"/>
                    <w:lang w:val="bs-Latn-BA"/>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50358" w:rsidRPr="006C7DFA" w:rsidRDefault="00E50358" w:rsidP="00E50358">
                    <w:pPr>
                      <w:pStyle w:val="NoSpacing"/>
                      <w:rPr>
                        <w:color w:val="4F81BD" w:themeColor="accent1"/>
                        <w:sz w:val="200"/>
                        <w:szCs w:val="200"/>
                        <w:lang w:val="bs-Latn-BA"/>
                      </w:rPr>
                    </w:pPr>
                    <w:r w:rsidRPr="006C7DFA">
                      <w:rPr>
                        <w:color w:val="4F81BD" w:themeColor="accent1"/>
                        <w:sz w:val="130"/>
                        <w:szCs w:val="130"/>
                        <w:lang w:val="bs-Latn-BA"/>
                      </w:rPr>
                      <w:t>2019. -2021.</w:t>
                    </w:r>
                  </w:p>
                </w:sdtContent>
              </w:sdt>
            </w:tc>
          </w:tr>
          <w:tr w:rsidR="00E50358" w:rsidRPr="006C7DFA" w:rsidTr="00E50358">
            <w:sdt>
              <w:sdtPr>
                <w:rPr>
                  <w:rFonts w:asciiTheme="majorHAnsi" w:eastAsiaTheme="majorEastAsia" w:hAnsiTheme="majorHAnsi" w:cstheme="majorBidi"/>
                  <w:sz w:val="44"/>
                  <w:szCs w:val="44"/>
                  <w:lang w:val="bs-Latn-BA"/>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8036" w:type="dxa"/>
                    <w:gridSpan w:val="2"/>
                    <w:tcBorders>
                      <w:top w:val="single" w:sz="18" w:space="0" w:color="808080" w:themeColor="background1" w:themeShade="80"/>
                    </w:tcBorders>
                  </w:tcPr>
                  <w:p w:rsidR="00E50358" w:rsidRPr="006C7DFA" w:rsidRDefault="00E50358" w:rsidP="00E50358">
                    <w:pPr>
                      <w:pStyle w:val="NoSpacing"/>
                      <w:rPr>
                        <w:lang w:val="bs-Latn-BA"/>
                      </w:rPr>
                    </w:pPr>
                    <w:r w:rsidRPr="006C7DFA">
                      <w:rPr>
                        <w:rFonts w:asciiTheme="majorHAnsi" w:eastAsiaTheme="majorEastAsia" w:hAnsiTheme="majorHAnsi" w:cstheme="majorBidi"/>
                        <w:sz w:val="44"/>
                        <w:szCs w:val="44"/>
                        <w:lang w:val="bs-Latn-BA"/>
                      </w:rPr>
                      <w:t>Strategije razvoja Tuzlanskog kantona za period 2016. – 2020. godina</w:t>
                    </w:r>
                  </w:p>
                </w:tc>
              </w:sdtContent>
            </w:sdt>
            <w:tc>
              <w:tcPr>
                <w:tcW w:w="2368" w:type="dxa"/>
                <w:tcBorders>
                  <w:top w:val="single" w:sz="18" w:space="0" w:color="808080" w:themeColor="background1" w:themeShade="80"/>
                </w:tcBorders>
              </w:tcPr>
              <w:p w:rsidR="00E50358" w:rsidRPr="006C7DFA" w:rsidRDefault="00E50358">
                <w:pPr>
                  <w:pStyle w:val="NoSpacing"/>
                  <w:rPr>
                    <w:rFonts w:asciiTheme="majorHAnsi" w:eastAsiaTheme="majorEastAsia" w:hAnsiTheme="majorHAnsi" w:cstheme="majorBidi"/>
                    <w:sz w:val="36"/>
                    <w:szCs w:val="36"/>
                    <w:lang w:val="bs-Latn-BA"/>
                  </w:rPr>
                </w:pPr>
              </w:p>
            </w:tc>
          </w:tr>
        </w:tbl>
        <w:p w:rsidR="00E50358" w:rsidRPr="006C7DFA" w:rsidRDefault="00E50358" w:rsidP="00E50358">
          <w:pPr>
            <w:spacing w:line="276" w:lineRule="auto"/>
            <w:rPr>
              <w:rFonts w:ascii="Cambria" w:hAnsi="Cambria" w:cs="Arial"/>
              <w:b/>
              <w:lang w:val="bs-Latn-BA"/>
            </w:rPr>
          </w:pPr>
          <w:r w:rsidRPr="006C7DFA">
            <w:rPr>
              <w:rFonts w:ascii="Cambria" w:hAnsi="Cambria"/>
              <w:noProof/>
            </w:rPr>
            <w:drawing>
              <wp:anchor distT="0" distB="0" distL="114300" distR="114300" simplePos="0" relativeHeight="251660800" behindDoc="0" locked="0" layoutInCell="1" allowOverlap="1">
                <wp:simplePos x="0" y="0"/>
                <wp:positionH relativeFrom="column">
                  <wp:posOffset>-100965</wp:posOffset>
                </wp:positionH>
                <wp:positionV relativeFrom="paragraph">
                  <wp:posOffset>-216535</wp:posOffset>
                </wp:positionV>
                <wp:extent cx="1010285" cy="1123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TK2018.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0285" cy="1123950"/>
                        </a:xfrm>
                        <a:prstGeom prst="rect">
                          <a:avLst/>
                        </a:prstGeom>
                      </pic:spPr>
                    </pic:pic>
                  </a:graphicData>
                </a:graphic>
              </wp:anchor>
            </w:drawing>
          </w:r>
          <w:r w:rsidRPr="006C7DFA">
            <w:rPr>
              <w:rFonts w:ascii="Cambria" w:hAnsi="Cambria" w:cs="Arial"/>
              <w:b/>
              <w:lang w:val="bs-Latn-BA"/>
            </w:rPr>
            <w:t xml:space="preserve">Bosna i Hercegovina                                                                                </w:t>
          </w:r>
        </w:p>
        <w:p w:rsidR="00E50358" w:rsidRPr="006C7DFA" w:rsidRDefault="00E50358" w:rsidP="00E50358">
          <w:pPr>
            <w:spacing w:line="276" w:lineRule="auto"/>
            <w:ind w:left="1134"/>
            <w:rPr>
              <w:rFonts w:ascii="Cambria" w:hAnsi="Cambria" w:cs="Arial"/>
              <w:b/>
              <w:lang w:val="bs-Latn-BA"/>
            </w:rPr>
          </w:pPr>
          <w:r w:rsidRPr="006C7DFA">
            <w:rPr>
              <w:rFonts w:ascii="Cambria" w:hAnsi="Cambria" w:cs="Arial"/>
              <w:b/>
              <w:lang w:val="bs-Latn-BA"/>
            </w:rPr>
            <w:t xml:space="preserve">Federacija Bosne i Hercegovine                                                       </w:t>
          </w:r>
        </w:p>
        <w:p w:rsidR="00E50358" w:rsidRPr="006C7DFA" w:rsidRDefault="00E50358" w:rsidP="00E50358">
          <w:pPr>
            <w:spacing w:line="276" w:lineRule="auto"/>
            <w:ind w:left="1134"/>
            <w:rPr>
              <w:rFonts w:ascii="Cambria" w:hAnsi="Cambria" w:cs="Arial"/>
              <w:b/>
              <w:lang w:val="bs-Latn-BA"/>
            </w:rPr>
          </w:pPr>
          <w:r w:rsidRPr="006C7DFA">
            <w:rPr>
              <w:rFonts w:ascii="Cambria" w:hAnsi="Cambria" w:cs="Arial"/>
              <w:b/>
              <w:lang w:val="bs-Latn-BA"/>
            </w:rPr>
            <w:t xml:space="preserve">Tuzlanski kanton                                                                            </w:t>
          </w:r>
        </w:p>
        <w:p w:rsidR="00E50358" w:rsidRPr="006C7DFA" w:rsidRDefault="00E50358" w:rsidP="00E50358">
          <w:pPr>
            <w:spacing w:line="276" w:lineRule="auto"/>
            <w:rPr>
              <w:rFonts w:ascii="Cambria" w:hAnsi="Cambria"/>
              <w:lang w:val="bs-Latn-BA"/>
            </w:rPr>
          </w:pPr>
          <w:r w:rsidRPr="006C7DFA">
            <w:rPr>
              <w:rFonts w:ascii="Cambria" w:hAnsi="Cambria" w:cs="Arial"/>
              <w:b/>
              <w:lang w:val="bs-Latn-BA"/>
            </w:rPr>
            <w:t>Ministarstvo privrede</w:t>
          </w:r>
        </w:p>
        <w:p w:rsidR="00E50358" w:rsidRPr="006C7DFA" w:rsidRDefault="009F0446" w:rsidP="00E50358">
          <w:pPr>
            <w:spacing w:after="200" w:line="276" w:lineRule="auto"/>
            <w:rPr>
              <w:rFonts w:ascii="Arial" w:hAnsi="Arial" w:cs="Arial"/>
              <w:b/>
              <w:lang w:val="bs-Latn-BA"/>
            </w:rPr>
          </w:pPr>
          <w:r w:rsidRPr="009F0446">
            <w:rPr>
              <w:noProof/>
              <w:lang w:val="bs-Latn-BA" w:eastAsia="bs-Latn-BA"/>
            </w:rPr>
            <w:pict>
              <v:shapetype id="_x0000_t202" coordsize="21600,21600" o:spt="202" path="m,l,21600r21600,l21600,xe">
                <v:stroke joinstyle="miter"/>
                <v:path gradientshapeok="t" o:connecttype="rect"/>
              </v:shapetype>
              <v:shape id="Text Box 2" o:spid="_x0000_s1026" type="#_x0000_t202" style="position:absolute;margin-left:67.45pt;margin-top:585.25pt;width:186.75pt;height:20.8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" strokecolor="white [3212]">
                <v:textbox style="mso-fit-shape-to-text:t">
                  <w:txbxContent>
                    <w:p w:rsidR="005B5A20" w:rsidRPr="00E50358" w:rsidRDefault="005B5A20" w:rsidP="00E50358">
                      <w:pPr>
                        <w:jc w:val="center"/>
                        <w:rPr>
                          <w:rFonts w:asciiTheme="majorHAnsi" w:hAnsiTheme="majorHAnsi" w:cs="Arial"/>
                          <w:lang w:val="bs-Latn-BA"/>
                        </w:rPr>
                      </w:pPr>
                      <w:r>
                        <w:rPr>
                          <w:rFonts w:asciiTheme="majorHAnsi" w:hAnsiTheme="majorHAnsi" w:cs="Arial"/>
                          <w:lang w:val="bs-Latn-BA"/>
                        </w:rPr>
                        <w:t>Decembar</w:t>
                      </w:r>
                      <w:r w:rsidRPr="00E50358">
                        <w:rPr>
                          <w:rFonts w:asciiTheme="majorHAnsi" w:hAnsiTheme="majorHAnsi" w:cs="Arial"/>
                          <w:lang w:val="bs-Latn-BA"/>
                        </w:rPr>
                        <w:t>, 2018. godine</w:t>
                      </w:r>
                    </w:p>
                  </w:txbxContent>
                </v:textbox>
              </v:shape>
            </w:pict>
          </w:r>
          <w:r w:rsidR="00E50358" w:rsidRPr="006C7DFA">
            <w:rPr>
              <w:rFonts w:ascii="Arial" w:hAnsi="Arial" w:cs="Arial"/>
              <w:b/>
              <w:lang w:val="bs-Latn-BA"/>
            </w:rPr>
            <w:br w:type="page"/>
          </w:r>
        </w:p>
      </w:sdtContent>
    </w:sdt>
    <w:p w:rsidR="00AB2F38" w:rsidRPr="006C7DFA" w:rsidRDefault="00AB2F38" w:rsidP="00E50358">
      <w:pPr>
        <w:spacing w:after="200" w:line="276" w:lineRule="auto"/>
        <w:rPr>
          <w:rFonts w:asciiTheme="majorHAnsi" w:hAnsiTheme="majorHAnsi" w:cs="Arial"/>
          <w:b/>
          <w:color w:val="365F91" w:themeColor="accent1" w:themeShade="BF"/>
          <w:sz w:val="28"/>
          <w:szCs w:val="28"/>
          <w:lang w:val="bs-Latn-BA"/>
        </w:rPr>
      </w:pPr>
      <w:r w:rsidRPr="006C7DFA">
        <w:rPr>
          <w:rFonts w:asciiTheme="majorHAnsi" w:hAnsiTheme="majorHAnsi"/>
          <w:b/>
          <w:color w:val="365F91" w:themeColor="accent1" w:themeShade="BF"/>
          <w:sz w:val="28"/>
          <w:szCs w:val="28"/>
          <w:lang w:val="bs-Latn-BA"/>
        </w:rPr>
        <w:lastRenderedPageBreak/>
        <w:t>Sadržaj</w:t>
      </w:r>
    </w:p>
    <w:p w:rsidR="00084580" w:rsidRPr="006C7DFA" w:rsidRDefault="009F0446" w:rsidP="004904FF">
      <w:pPr>
        <w:pStyle w:val="TOC1"/>
        <w:spacing w:line="360" w:lineRule="auto"/>
        <w:rPr>
          <w:rFonts w:eastAsiaTheme="minorEastAsia" w:cstheme="minorBidi"/>
          <w:lang w:val="bs-Latn-BA" w:eastAsia="bs-Latn-BA"/>
        </w:rPr>
      </w:pPr>
      <w:r w:rsidRPr="009F0446">
        <w:rPr>
          <w:lang w:val="bs-Latn-BA"/>
        </w:rPr>
        <w:fldChar w:fldCharType="begin"/>
      </w:r>
      <w:r w:rsidR="00AB2F38" w:rsidRPr="006C7DFA">
        <w:rPr>
          <w:lang w:val="bs-Latn-BA"/>
        </w:rPr>
        <w:instrText xml:space="preserve"> TOC \o "1-3" \h \z \u </w:instrText>
      </w:r>
      <w:r w:rsidRPr="009F0446">
        <w:rPr>
          <w:lang w:val="bs-Latn-BA"/>
        </w:rPr>
        <w:fldChar w:fldCharType="separate"/>
      </w:r>
      <w:hyperlink w:anchor="_Toc528923002" w:history="1">
        <w:r w:rsidR="00084580" w:rsidRPr="006C7DFA">
          <w:rPr>
            <w:rStyle w:val="Hyperlink"/>
            <w:rFonts w:asciiTheme="majorHAnsi" w:hAnsiTheme="majorHAnsi"/>
            <w:b w:val="0"/>
            <w:lang w:val="bs-Latn-BA"/>
          </w:rPr>
          <w:t>1.</w:t>
        </w:r>
        <w:r w:rsidR="00084580" w:rsidRPr="006C7DFA">
          <w:rPr>
            <w:rFonts w:eastAsiaTheme="minorEastAsia" w:cstheme="minorBidi"/>
            <w:lang w:val="bs-Latn-BA" w:eastAsia="bs-Latn-BA"/>
          </w:rPr>
          <w:tab/>
        </w:r>
        <w:r w:rsidR="00084580" w:rsidRPr="006C7DFA">
          <w:rPr>
            <w:rStyle w:val="Hyperlink"/>
            <w:rFonts w:asciiTheme="majorHAnsi" w:hAnsiTheme="majorHAnsi"/>
            <w:b w:val="0"/>
            <w:lang w:val="bs-Latn-BA"/>
          </w:rPr>
          <w:t>Uvod</w:t>
        </w:r>
        <w:r w:rsidR="00084580" w:rsidRPr="006C7DFA">
          <w:rPr>
            <w:webHidden/>
            <w:lang w:val="bs-Latn-BA"/>
          </w:rPr>
          <w:tab/>
        </w:r>
        <w:r w:rsidRPr="006C7DFA">
          <w:rPr>
            <w:webHidden/>
            <w:lang w:val="bs-Latn-BA"/>
          </w:rPr>
          <w:fldChar w:fldCharType="begin"/>
        </w:r>
        <w:r w:rsidR="00084580" w:rsidRPr="006C7DFA">
          <w:rPr>
            <w:webHidden/>
            <w:lang w:val="bs-Latn-BA"/>
          </w:rPr>
          <w:instrText xml:space="preserve"> PAGEREF _Toc528923002 \h </w:instrText>
        </w:r>
        <w:r w:rsidRPr="006C7DFA">
          <w:rPr>
            <w:webHidden/>
            <w:lang w:val="bs-Latn-BA"/>
          </w:rPr>
        </w:r>
        <w:r w:rsidRPr="006C7DFA">
          <w:rPr>
            <w:webHidden/>
            <w:lang w:val="bs-Latn-BA"/>
          </w:rPr>
          <w:fldChar w:fldCharType="separate"/>
        </w:r>
        <w:r w:rsidR="00084580" w:rsidRPr="006C7DFA">
          <w:rPr>
            <w:webHidden/>
            <w:lang w:val="bs-Latn-BA"/>
          </w:rPr>
          <w:t>2</w:t>
        </w:r>
        <w:r w:rsidRPr="006C7DFA">
          <w:rPr>
            <w:webHidden/>
            <w:lang w:val="bs-Latn-BA"/>
          </w:rPr>
          <w:fldChar w:fldCharType="end"/>
        </w:r>
      </w:hyperlink>
    </w:p>
    <w:p w:rsidR="00084580" w:rsidRPr="006C7DFA" w:rsidRDefault="009F0446" w:rsidP="004904FF">
      <w:pPr>
        <w:pStyle w:val="TOC1"/>
        <w:spacing w:line="360" w:lineRule="auto"/>
        <w:rPr>
          <w:rFonts w:eastAsiaTheme="minorEastAsia" w:cstheme="minorBidi"/>
          <w:lang w:val="bs-Latn-BA" w:eastAsia="bs-Latn-BA"/>
        </w:rPr>
      </w:pPr>
      <w:hyperlink w:anchor="_Toc528923003" w:history="1">
        <w:r w:rsidR="00084580" w:rsidRPr="006C7DFA">
          <w:rPr>
            <w:rStyle w:val="Hyperlink"/>
            <w:rFonts w:asciiTheme="majorHAnsi" w:hAnsiTheme="majorHAnsi"/>
            <w:b w:val="0"/>
            <w:lang w:val="bs-Latn-BA"/>
          </w:rPr>
          <w:t>2.</w:t>
        </w:r>
        <w:r w:rsidR="00084580" w:rsidRPr="006C7DFA">
          <w:rPr>
            <w:rFonts w:eastAsiaTheme="minorEastAsia" w:cstheme="minorBidi"/>
            <w:lang w:val="bs-Latn-BA" w:eastAsia="bs-Latn-BA"/>
          </w:rPr>
          <w:tab/>
        </w:r>
        <w:r w:rsidR="00084580" w:rsidRPr="006C7DFA">
          <w:rPr>
            <w:rStyle w:val="Hyperlink"/>
            <w:rFonts w:asciiTheme="majorHAnsi" w:hAnsiTheme="majorHAnsi"/>
            <w:b w:val="0"/>
            <w:lang w:val="bs-Latn-BA"/>
          </w:rPr>
          <w:t>Proces izrade operativnog/akcionog plana</w:t>
        </w:r>
        <w:r w:rsidR="00084580" w:rsidRPr="006C7DFA">
          <w:rPr>
            <w:webHidden/>
            <w:lang w:val="bs-Latn-BA"/>
          </w:rPr>
          <w:tab/>
        </w:r>
        <w:r w:rsidRPr="006C7DFA">
          <w:rPr>
            <w:webHidden/>
            <w:lang w:val="bs-Latn-BA"/>
          </w:rPr>
          <w:fldChar w:fldCharType="begin"/>
        </w:r>
        <w:r w:rsidR="00084580" w:rsidRPr="006C7DFA">
          <w:rPr>
            <w:webHidden/>
            <w:lang w:val="bs-Latn-BA"/>
          </w:rPr>
          <w:instrText xml:space="preserve"> PAGEREF _Toc528923003 \h </w:instrText>
        </w:r>
        <w:r w:rsidRPr="006C7DFA">
          <w:rPr>
            <w:webHidden/>
            <w:lang w:val="bs-Latn-BA"/>
          </w:rPr>
        </w:r>
        <w:r w:rsidRPr="006C7DFA">
          <w:rPr>
            <w:webHidden/>
            <w:lang w:val="bs-Latn-BA"/>
          </w:rPr>
          <w:fldChar w:fldCharType="separate"/>
        </w:r>
        <w:r w:rsidR="00084580" w:rsidRPr="006C7DFA">
          <w:rPr>
            <w:webHidden/>
            <w:lang w:val="bs-Latn-BA"/>
          </w:rPr>
          <w:t>3</w:t>
        </w:r>
        <w:r w:rsidRPr="006C7DFA">
          <w:rPr>
            <w:webHidden/>
            <w:lang w:val="bs-Latn-BA"/>
          </w:rPr>
          <w:fldChar w:fldCharType="end"/>
        </w:r>
      </w:hyperlink>
    </w:p>
    <w:p w:rsidR="00084580" w:rsidRPr="006C7DFA" w:rsidRDefault="009F0446" w:rsidP="004904FF">
      <w:pPr>
        <w:pStyle w:val="TOC1"/>
        <w:spacing w:line="360" w:lineRule="auto"/>
        <w:rPr>
          <w:rFonts w:eastAsiaTheme="minorEastAsia" w:cstheme="minorBidi"/>
          <w:lang w:val="bs-Latn-BA" w:eastAsia="bs-Latn-BA"/>
        </w:rPr>
      </w:pPr>
      <w:hyperlink w:anchor="_Toc528923005" w:history="1">
        <w:r w:rsidR="00084580" w:rsidRPr="006C7DFA">
          <w:rPr>
            <w:rStyle w:val="Hyperlink"/>
            <w:rFonts w:asciiTheme="majorHAnsi" w:hAnsiTheme="majorHAnsi"/>
            <w:b w:val="0"/>
            <w:lang w:val="bs-Latn-BA"/>
          </w:rPr>
          <w:t>3.</w:t>
        </w:r>
        <w:r w:rsidR="00084580" w:rsidRPr="006C7DFA">
          <w:rPr>
            <w:rFonts w:eastAsiaTheme="minorEastAsia" w:cstheme="minorBidi"/>
            <w:lang w:val="bs-Latn-BA" w:eastAsia="bs-Latn-BA"/>
          </w:rPr>
          <w:tab/>
        </w:r>
        <w:r w:rsidR="00084580" w:rsidRPr="006C7DFA">
          <w:rPr>
            <w:rStyle w:val="Hyperlink"/>
            <w:rFonts w:asciiTheme="majorHAnsi" w:hAnsiTheme="majorHAnsi"/>
            <w:b w:val="0"/>
            <w:lang w:val="bs-Latn-BA"/>
          </w:rPr>
          <w:t>Sažetak izvještaja o provođenju strategije za prethodnu godinu</w:t>
        </w:r>
        <w:r w:rsidR="00084580" w:rsidRPr="006C7DFA">
          <w:rPr>
            <w:webHidden/>
            <w:lang w:val="bs-Latn-BA"/>
          </w:rPr>
          <w:tab/>
        </w:r>
        <w:r w:rsidRPr="006C7DFA">
          <w:rPr>
            <w:webHidden/>
            <w:lang w:val="bs-Latn-BA"/>
          </w:rPr>
          <w:fldChar w:fldCharType="begin"/>
        </w:r>
        <w:r w:rsidR="00084580" w:rsidRPr="006C7DFA">
          <w:rPr>
            <w:webHidden/>
            <w:lang w:val="bs-Latn-BA"/>
          </w:rPr>
          <w:instrText xml:space="preserve"> PAGEREF _Toc528923005 \h </w:instrText>
        </w:r>
        <w:r w:rsidRPr="006C7DFA">
          <w:rPr>
            <w:webHidden/>
            <w:lang w:val="bs-Latn-BA"/>
          </w:rPr>
        </w:r>
        <w:r w:rsidRPr="006C7DFA">
          <w:rPr>
            <w:webHidden/>
            <w:lang w:val="bs-Latn-BA"/>
          </w:rPr>
          <w:fldChar w:fldCharType="separate"/>
        </w:r>
        <w:r w:rsidR="00084580" w:rsidRPr="006C7DFA">
          <w:rPr>
            <w:webHidden/>
            <w:lang w:val="bs-Latn-BA"/>
          </w:rPr>
          <w:t>7</w:t>
        </w:r>
        <w:r w:rsidRPr="006C7DFA">
          <w:rPr>
            <w:webHidden/>
            <w:lang w:val="bs-Latn-BA"/>
          </w:rPr>
          <w:fldChar w:fldCharType="end"/>
        </w:r>
      </w:hyperlink>
    </w:p>
    <w:p w:rsidR="00084580" w:rsidRPr="006C7DFA" w:rsidRDefault="009F0446" w:rsidP="004904FF">
      <w:pPr>
        <w:pStyle w:val="TOC1"/>
        <w:spacing w:line="360" w:lineRule="auto"/>
        <w:rPr>
          <w:rFonts w:eastAsiaTheme="minorEastAsia" w:cstheme="minorBidi"/>
          <w:lang w:val="bs-Latn-BA" w:eastAsia="bs-Latn-BA"/>
        </w:rPr>
      </w:pPr>
      <w:hyperlink w:anchor="_Toc528923006" w:history="1">
        <w:r w:rsidR="00084580" w:rsidRPr="006C7DFA">
          <w:rPr>
            <w:rStyle w:val="Hyperlink"/>
            <w:rFonts w:asciiTheme="majorHAnsi" w:hAnsiTheme="majorHAnsi"/>
            <w:b w:val="0"/>
            <w:lang w:val="bs-Latn-BA"/>
          </w:rPr>
          <w:t>4.</w:t>
        </w:r>
        <w:r w:rsidR="00084580" w:rsidRPr="006C7DFA">
          <w:rPr>
            <w:rFonts w:eastAsiaTheme="minorEastAsia" w:cstheme="minorBidi"/>
            <w:lang w:val="bs-Latn-BA" w:eastAsia="bs-Latn-BA"/>
          </w:rPr>
          <w:tab/>
        </w:r>
        <w:r w:rsidR="00084580" w:rsidRPr="006C7DFA">
          <w:rPr>
            <w:rStyle w:val="Hyperlink"/>
            <w:rFonts w:asciiTheme="majorHAnsi" w:hAnsiTheme="majorHAnsi"/>
            <w:b w:val="0"/>
            <w:lang w:val="bs-Latn-BA"/>
          </w:rPr>
          <w:t>Sažeti pregled operativnog/akcionog plana za 2019-2021</w:t>
        </w:r>
        <w:r w:rsidR="00084580" w:rsidRPr="006C7DFA">
          <w:rPr>
            <w:webHidden/>
            <w:lang w:val="bs-Latn-BA"/>
          </w:rPr>
          <w:tab/>
        </w:r>
        <w:r w:rsidRPr="006C7DFA">
          <w:rPr>
            <w:webHidden/>
            <w:lang w:val="bs-Latn-BA"/>
          </w:rPr>
          <w:fldChar w:fldCharType="begin"/>
        </w:r>
        <w:r w:rsidR="00084580" w:rsidRPr="006C7DFA">
          <w:rPr>
            <w:webHidden/>
            <w:lang w:val="bs-Latn-BA"/>
          </w:rPr>
          <w:instrText xml:space="preserve"> PAGEREF _Toc528923006 \h </w:instrText>
        </w:r>
        <w:r w:rsidRPr="006C7DFA">
          <w:rPr>
            <w:webHidden/>
            <w:lang w:val="bs-Latn-BA"/>
          </w:rPr>
        </w:r>
        <w:r w:rsidRPr="006C7DFA">
          <w:rPr>
            <w:webHidden/>
            <w:lang w:val="bs-Latn-BA"/>
          </w:rPr>
          <w:fldChar w:fldCharType="separate"/>
        </w:r>
        <w:r w:rsidR="00084580" w:rsidRPr="006C7DFA">
          <w:rPr>
            <w:webHidden/>
            <w:lang w:val="bs-Latn-BA"/>
          </w:rPr>
          <w:t>9</w:t>
        </w:r>
        <w:r w:rsidRPr="006C7DFA">
          <w:rPr>
            <w:webHidden/>
            <w:lang w:val="bs-Latn-BA"/>
          </w:rPr>
          <w:fldChar w:fldCharType="end"/>
        </w:r>
      </w:hyperlink>
    </w:p>
    <w:p w:rsidR="00084580" w:rsidRPr="006C7DFA" w:rsidRDefault="009F0446" w:rsidP="004904FF">
      <w:pPr>
        <w:pStyle w:val="TOC1"/>
        <w:spacing w:line="360" w:lineRule="auto"/>
        <w:rPr>
          <w:rFonts w:eastAsiaTheme="minorEastAsia" w:cstheme="minorBidi"/>
          <w:lang w:val="bs-Latn-BA" w:eastAsia="bs-Latn-BA"/>
        </w:rPr>
      </w:pPr>
      <w:hyperlink w:anchor="_Toc528923007" w:history="1">
        <w:r w:rsidR="00084580" w:rsidRPr="006C7DFA">
          <w:rPr>
            <w:rStyle w:val="Hyperlink"/>
            <w:rFonts w:asciiTheme="majorHAnsi" w:hAnsiTheme="majorHAnsi"/>
            <w:b w:val="0"/>
            <w:lang w:val="bs-Latn-BA"/>
          </w:rPr>
          <w:t>Prilog: Operativni/Akcioni plan sa finansijskim okvirom za period 2019-2021.godina Strategije razvoja Tuzlanskog kantona 2016-2020. godina – tabelarni prikaz</w:t>
        </w:r>
        <w:r w:rsidR="00084580" w:rsidRPr="006C7DFA">
          <w:rPr>
            <w:webHidden/>
            <w:lang w:val="bs-Latn-BA"/>
          </w:rPr>
          <w:tab/>
        </w:r>
        <w:r w:rsidRPr="006C7DFA">
          <w:rPr>
            <w:webHidden/>
            <w:lang w:val="bs-Latn-BA"/>
          </w:rPr>
          <w:fldChar w:fldCharType="begin"/>
        </w:r>
        <w:r w:rsidR="00084580" w:rsidRPr="006C7DFA">
          <w:rPr>
            <w:webHidden/>
            <w:lang w:val="bs-Latn-BA"/>
          </w:rPr>
          <w:instrText xml:space="preserve"> PAGEREF _Toc528923007 \h </w:instrText>
        </w:r>
        <w:r w:rsidRPr="006C7DFA">
          <w:rPr>
            <w:webHidden/>
            <w:lang w:val="bs-Latn-BA"/>
          </w:rPr>
        </w:r>
        <w:r w:rsidRPr="006C7DFA">
          <w:rPr>
            <w:webHidden/>
            <w:lang w:val="bs-Latn-BA"/>
          </w:rPr>
          <w:fldChar w:fldCharType="separate"/>
        </w:r>
        <w:r w:rsidR="00084580" w:rsidRPr="006C7DFA">
          <w:rPr>
            <w:webHidden/>
            <w:lang w:val="bs-Latn-BA"/>
          </w:rPr>
          <w:t>11</w:t>
        </w:r>
        <w:r w:rsidRPr="006C7DFA">
          <w:rPr>
            <w:webHidden/>
            <w:lang w:val="bs-Latn-BA"/>
          </w:rPr>
          <w:fldChar w:fldCharType="end"/>
        </w:r>
      </w:hyperlink>
    </w:p>
    <w:p w:rsidR="00AB2F38" w:rsidRPr="006C7DFA" w:rsidRDefault="009F0446" w:rsidP="00084580">
      <w:pPr>
        <w:tabs>
          <w:tab w:val="right" w:leader="dot" w:pos="9498"/>
        </w:tabs>
        <w:spacing w:line="480" w:lineRule="auto"/>
        <w:ind w:left="426" w:hanging="426"/>
        <w:rPr>
          <w:lang w:val="bs-Latn-BA"/>
        </w:rPr>
      </w:pPr>
      <w:r w:rsidRPr="006C7DFA">
        <w:rPr>
          <w:rFonts w:asciiTheme="majorHAnsi" w:hAnsiTheme="majorHAnsi"/>
          <w:lang w:val="bs-Latn-BA"/>
        </w:rPr>
        <w:fldChar w:fldCharType="end"/>
      </w:r>
    </w:p>
    <w:p w:rsidR="00AB2F38" w:rsidRPr="006C7DFA" w:rsidRDefault="004904FF" w:rsidP="004904FF">
      <w:pPr>
        <w:spacing w:line="276" w:lineRule="auto"/>
        <w:rPr>
          <w:rFonts w:asciiTheme="majorHAnsi" w:hAnsiTheme="majorHAnsi"/>
          <w:b/>
          <w:color w:val="365F91" w:themeColor="accent1" w:themeShade="BF"/>
          <w:sz w:val="28"/>
          <w:szCs w:val="28"/>
          <w:lang w:val="bs-Latn-BA"/>
        </w:rPr>
      </w:pPr>
      <w:r w:rsidRPr="006C7DFA">
        <w:rPr>
          <w:rFonts w:asciiTheme="majorHAnsi" w:hAnsiTheme="majorHAnsi"/>
          <w:b/>
          <w:color w:val="365F91" w:themeColor="accent1" w:themeShade="BF"/>
          <w:sz w:val="28"/>
          <w:szCs w:val="28"/>
          <w:lang w:val="bs-Latn-BA"/>
        </w:rPr>
        <w:t>Tabele</w:t>
      </w:r>
    </w:p>
    <w:p w:rsidR="004904FF" w:rsidRPr="006C7DFA" w:rsidRDefault="004904FF" w:rsidP="00AB2F38">
      <w:pPr>
        <w:rPr>
          <w:lang w:val="bs-Latn-BA"/>
        </w:rPr>
      </w:pPr>
    </w:p>
    <w:p w:rsidR="004904FF" w:rsidRPr="006C7DFA" w:rsidRDefault="009F0446" w:rsidP="004904FF">
      <w:pPr>
        <w:pStyle w:val="TableofFigures"/>
        <w:tabs>
          <w:tab w:val="right" w:leader="dot" w:pos="9396"/>
        </w:tabs>
        <w:spacing w:line="360" w:lineRule="auto"/>
        <w:rPr>
          <w:noProof/>
          <w:lang w:val="bs-Latn-BA"/>
        </w:rPr>
      </w:pPr>
      <w:r w:rsidRPr="006C7DFA">
        <w:rPr>
          <w:lang w:val="bs-Latn-BA"/>
        </w:rPr>
        <w:fldChar w:fldCharType="begin"/>
      </w:r>
      <w:r w:rsidR="004904FF" w:rsidRPr="006C7DFA">
        <w:rPr>
          <w:lang w:val="bs-Latn-BA"/>
        </w:rPr>
        <w:instrText xml:space="preserve"> TOC \h \z \c "Tabela" </w:instrText>
      </w:r>
      <w:r w:rsidRPr="006C7DFA">
        <w:rPr>
          <w:lang w:val="bs-Latn-BA"/>
        </w:rPr>
        <w:fldChar w:fldCharType="separate"/>
      </w:r>
      <w:hyperlink w:anchor="_Toc528923126" w:history="1">
        <w:r w:rsidR="004904FF" w:rsidRPr="006C7DFA">
          <w:rPr>
            <w:rStyle w:val="Hyperlink"/>
            <w:rFonts w:asciiTheme="majorHAnsi" w:hAnsiTheme="majorHAnsi"/>
            <w:noProof/>
            <w:lang w:val="bs-Latn-BA"/>
          </w:rPr>
          <w:t>Tabela 1. Pregled strateških i prioritetnih ciljeva</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_Toc528923126 \h </w:instrText>
        </w:r>
        <w:r w:rsidRPr="006C7DFA">
          <w:rPr>
            <w:noProof/>
            <w:webHidden/>
            <w:lang w:val="bs-Latn-BA"/>
          </w:rPr>
        </w:r>
        <w:r w:rsidRPr="006C7DFA">
          <w:rPr>
            <w:noProof/>
            <w:webHidden/>
            <w:lang w:val="bs-Latn-BA"/>
          </w:rPr>
          <w:fldChar w:fldCharType="separate"/>
        </w:r>
        <w:r w:rsidR="004904FF" w:rsidRPr="006C7DFA">
          <w:rPr>
            <w:noProof/>
            <w:webHidden/>
            <w:lang w:val="bs-Latn-BA"/>
          </w:rPr>
          <w:t>2</w:t>
        </w:r>
        <w:r w:rsidRPr="006C7DFA">
          <w:rPr>
            <w:noProof/>
            <w:webHidden/>
            <w:lang w:val="bs-Latn-BA"/>
          </w:rPr>
          <w:fldChar w:fldCharType="end"/>
        </w:r>
      </w:hyperlink>
    </w:p>
    <w:p w:rsidR="004904FF" w:rsidRPr="006C7DFA" w:rsidRDefault="009F0446" w:rsidP="004904FF">
      <w:pPr>
        <w:pStyle w:val="TableofFigures"/>
        <w:tabs>
          <w:tab w:val="right" w:leader="dot" w:pos="9396"/>
        </w:tabs>
        <w:spacing w:line="276" w:lineRule="auto"/>
        <w:ind w:left="851" w:hanging="851"/>
        <w:rPr>
          <w:noProof/>
          <w:lang w:val="bs-Latn-BA"/>
        </w:rPr>
      </w:pPr>
      <w:hyperlink w:anchor="_Toc528923127" w:history="1">
        <w:r w:rsidR="004904FF" w:rsidRPr="006C7DFA">
          <w:rPr>
            <w:rStyle w:val="Hyperlink"/>
            <w:rFonts w:asciiTheme="majorHAnsi" w:hAnsiTheme="majorHAnsi"/>
            <w:noProof/>
            <w:lang w:val="bs-Latn-BA"/>
          </w:rPr>
          <w:t>Tabela 2. Pregled implementacije mjera/aktivnosti iz Operativnog/Akcionog plana SRTK 2016.-2020.</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_Toc528923127 \h </w:instrText>
        </w:r>
        <w:r w:rsidRPr="006C7DFA">
          <w:rPr>
            <w:noProof/>
            <w:webHidden/>
            <w:lang w:val="bs-Latn-BA"/>
          </w:rPr>
        </w:r>
        <w:r w:rsidRPr="006C7DFA">
          <w:rPr>
            <w:noProof/>
            <w:webHidden/>
            <w:lang w:val="bs-Latn-BA"/>
          </w:rPr>
          <w:fldChar w:fldCharType="separate"/>
        </w:r>
        <w:r w:rsidR="004904FF" w:rsidRPr="006C7DFA">
          <w:rPr>
            <w:noProof/>
            <w:webHidden/>
            <w:lang w:val="bs-Latn-BA"/>
          </w:rPr>
          <w:t>7</w:t>
        </w:r>
        <w:r w:rsidRPr="006C7DFA">
          <w:rPr>
            <w:noProof/>
            <w:webHidden/>
            <w:lang w:val="bs-Latn-BA"/>
          </w:rPr>
          <w:fldChar w:fldCharType="end"/>
        </w:r>
      </w:hyperlink>
    </w:p>
    <w:p w:rsidR="004904FF" w:rsidRPr="006C7DFA" w:rsidRDefault="009F0446" w:rsidP="004904FF">
      <w:pPr>
        <w:pStyle w:val="TableofFigures"/>
        <w:tabs>
          <w:tab w:val="right" w:leader="dot" w:pos="9396"/>
        </w:tabs>
        <w:spacing w:line="360" w:lineRule="auto"/>
        <w:rPr>
          <w:noProof/>
          <w:lang w:val="bs-Latn-BA"/>
        </w:rPr>
      </w:pPr>
      <w:hyperlink w:anchor="_Toc528923128" w:history="1">
        <w:r w:rsidR="004904FF" w:rsidRPr="006C7DFA">
          <w:rPr>
            <w:rStyle w:val="Hyperlink"/>
            <w:rFonts w:asciiTheme="majorHAnsi" w:hAnsiTheme="majorHAnsi"/>
            <w:noProof/>
            <w:lang w:val="bs-Latn-BA"/>
          </w:rPr>
          <w:t>Tabela 3.Vrijednost realizovanih sredstava po Strateškim ciljevima u 2017. godini</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_Toc528923128 \h </w:instrText>
        </w:r>
        <w:r w:rsidRPr="006C7DFA">
          <w:rPr>
            <w:noProof/>
            <w:webHidden/>
            <w:lang w:val="bs-Latn-BA"/>
          </w:rPr>
        </w:r>
        <w:r w:rsidRPr="006C7DFA">
          <w:rPr>
            <w:noProof/>
            <w:webHidden/>
            <w:lang w:val="bs-Latn-BA"/>
          </w:rPr>
          <w:fldChar w:fldCharType="separate"/>
        </w:r>
        <w:r w:rsidR="004904FF" w:rsidRPr="006C7DFA">
          <w:rPr>
            <w:noProof/>
            <w:webHidden/>
            <w:lang w:val="bs-Latn-BA"/>
          </w:rPr>
          <w:t>8</w:t>
        </w:r>
        <w:r w:rsidRPr="006C7DFA">
          <w:rPr>
            <w:noProof/>
            <w:webHidden/>
            <w:lang w:val="bs-Latn-BA"/>
          </w:rPr>
          <w:fldChar w:fldCharType="end"/>
        </w:r>
      </w:hyperlink>
    </w:p>
    <w:p w:rsidR="004904FF" w:rsidRPr="006C7DFA" w:rsidRDefault="009F0446" w:rsidP="004904FF">
      <w:pPr>
        <w:pStyle w:val="TableofFigures"/>
        <w:tabs>
          <w:tab w:val="right" w:leader="dot" w:pos="9396"/>
        </w:tabs>
        <w:spacing w:line="360" w:lineRule="auto"/>
        <w:rPr>
          <w:noProof/>
          <w:lang w:val="bs-Latn-BA"/>
        </w:rPr>
      </w:pPr>
      <w:hyperlink w:anchor="_Toc528923129" w:history="1">
        <w:r w:rsidR="004904FF" w:rsidRPr="006C7DFA">
          <w:rPr>
            <w:rStyle w:val="Hyperlink"/>
            <w:rFonts w:asciiTheme="majorHAnsi" w:hAnsiTheme="majorHAnsi"/>
            <w:noProof/>
            <w:lang w:val="bs-Latn-BA"/>
          </w:rPr>
          <w:t>Tabela 4. Pregled po projektima i mjerama</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_Toc528923129 \h </w:instrText>
        </w:r>
        <w:r w:rsidRPr="006C7DFA">
          <w:rPr>
            <w:noProof/>
            <w:webHidden/>
            <w:lang w:val="bs-Latn-BA"/>
          </w:rPr>
        </w:r>
        <w:r w:rsidRPr="006C7DFA">
          <w:rPr>
            <w:noProof/>
            <w:webHidden/>
            <w:lang w:val="bs-Latn-BA"/>
          </w:rPr>
          <w:fldChar w:fldCharType="separate"/>
        </w:r>
        <w:r w:rsidR="004904FF" w:rsidRPr="006C7DFA">
          <w:rPr>
            <w:noProof/>
            <w:webHidden/>
            <w:lang w:val="bs-Latn-BA"/>
          </w:rPr>
          <w:t>9</w:t>
        </w:r>
        <w:r w:rsidRPr="006C7DFA">
          <w:rPr>
            <w:noProof/>
            <w:webHidden/>
            <w:lang w:val="bs-Latn-BA"/>
          </w:rPr>
          <w:fldChar w:fldCharType="end"/>
        </w:r>
      </w:hyperlink>
    </w:p>
    <w:p w:rsidR="004904FF" w:rsidRPr="006C7DFA" w:rsidRDefault="009F0446" w:rsidP="004904FF">
      <w:pPr>
        <w:pStyle w:val="TableofFigures"/>
        <w:tabs>
          <w:tab w:val="right" w:leader="dot" w:pos="9396"/>
        </w:tabs>
        <w:spacing w:line="360" w:lineRule="auto"/>
        <w:rPr>
          <w:noProof/>
          <w:lang w:val="bs-Latn-BA"/>
        </w:rPr>
      </w:pPr>
      <w:hyperlink w:anchor="_Toc528923130" w:history="1">
        <w:r w:rsidR="004904FF" w:rsidRPr="006C7DFA">
          <w:rPr>
            <w:rStyle w:val="Hyperlink"/>
            <w:rFonts w:asciiTheme="majorHAnsi" w:hAnsiTheme="majorHAnsi"/>
            <w:noProof/>
            <w:lang w:val="bs-Latn-BA"/>
          </w:rPr>
          <w:t>Tabela 5. Struktura finansiranja po strateškim ciljevima i izvorima finansiranja 2019.-2021.</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_Toc528923130 \h </w:instrText>
        </w:r>
        <w:r w:rsidRPr="006C7DFA">
          <w:rPr>
            <w:noProof/>
            <w:webHidden/>
            <w:lang w:val="bs-Latn-BA"/>
          </w:rPr>
        </w:r>
        <w:r w:rsidRPr="006C7DFA">
          <w:rPr>
            <w:noProof/>
            <w:webHidden/>
            <w:lang w:val="bs-Latn-BA"/>
          </w:rPr>
          <w:fldChar w:fldCharType="separate"/>
        </w:r>
        <w:r w:rsidR="004904FF" w:rsidRPr="006C7DFA">
          <w:rPr>
            <w:noProof/>
            <w:webHidden/>
            <w:lang w:val="bs-Latn-BA"/>
          </w:rPr>
          <w:t>10</w:t>
        </w:r>
        <w:r w:rsidRPr="006C7DFA">
          <w:rPr>
            <w:noProof/>
            <w:webHidden/>
            <w:lang w:val="bs-Latn-BA"/>
          </w:rPr>
          <w:fldChar w:fldCharType="end"/>
        </w:r>
      </w:hyperlink>
    </w:p>
    <w:p w:rsidR="004904FF" w:rsidRPr="006C7DFA" w:rsidRDefault="009F0446" w:rsidP="004904FF">
      <w:pPr>
        <w:pStyle w:val="TableofFigures"/>
        <w:tabs>
          <w:tab w:val="right" w:leader="dot" w:pos="9396"/>
        </w:tabs>
        <w:spacing w:line="360" w:lineRule="auto"/>
        <w:ind w:left="851" w:hanging="851"/>
        <w:rPr>
          <w:noProof/>
          <w:lang w:val="bs-Latn-BA"/>
        </w:rPr>
      </w:pPr>
      <w:hyperlink w:anchor="_Toc528923131" w:history="1">
        <w:r w:rsidR="004904FF" w:rsidRPr="006C7DFA">
          <w:rPr>
            <w:rStyle w:val="Hyperlink"/>
            <w:rFonts w:asciiTheme="majorHAnsi" w:hAnsiTheme="majorHAnsi"/>
            <w:noProof/>
            <w:lang w:val="bs-Latn-BA"/>
          </w:rPr>
          <w:t>Tabela 6. Struktura finansiranja po sektorima sa brojem projekata i izvorima finansiranja 2019.-2021. godina</w:t>
        </w:r>
        <w:r w:rsidR="004904FF" w:rsidRPr="006C7DFA">
          <w:rPr>
            <w:noProof/>
            <w:webHidden/>
            <w:lang w:val="bs-Latn-BA"/>
          </w:rPr>
          <w:tab/>
        </w:r>
        <w:r w:rsidRPr="006C7DFA">
          <w:rPr>
            <w:noProof/>
            <w:webHidden/>
            <w:lang w:val="bs-Latn-BA"/>
          </w:rPr>
          <w:fldChar w:fldCharType="begin"/>
        </w:r>
        <w:r w:rsidR="004904FF" w:rsidRPr="006C7DFA">
          <w:rPr>
            <w:noProof/>
            <w:webHidden/>
            <w:lang w:val="bs-Latn-BA"/>
          </w:rPr>
          <w:instrText xml:space="preserve"> PAGEREF _Toc528923131 \h </w:instrText>
        </w:r>
        <w:r w:rsidRPr="006C7DFA">
          <w:rPr>
            <w:noProof/>
            <w:webHidden/>
            <w:lang w:val="bs-Latn-BA"/>
          </w:rPr>
        </w:r>
        <w:r w:rsidRPr="006C7DFA">
          <w:rPr>
            <w:noProof/>
            <w:webHidden/>
            <w:lang w:val="bs-Latn-BA"/>
          </w:rPr>
          <w:fldChar w:fldCharType="separate"/>
        </w:r>
        <w:r w:rsidR="004904FF" w:rsidRPr="006C7DFA">
          <w:rPr>
            <w:noProof/>
            <w:webHidden/>
            <w:lang w:val="bs-Latn-BA"/>
          </w:rPr>
          <w:t>11</w:t>
        </w:r>
        <w:r w:rsidRPr="006C7DFA">
          <w:rPr>
            <w:noProof/>
            <w:webHidden/>
            <w:lang w:val="bs-Latn-BA"/>
          </w:rPr>
          <w:fldChar w:fldCharType="end"/>
        </w:r>
      </w:hyperlink>
    </w:p>
    <w:p w:rsidR="00AB2F38" w:rsidRPr="006C7DFA" w:rsidRDefault="009F0446" w:rsidP="004904FF">
      <w:pPr>
        <w:spacing w:line="360" w:lineRule="auto"/>
        <w:rPr>
          <w:lang w:val="bs-Latn-BA"/>
        </w:rPr>
      </w:pPr>
      <w:r w:rsidRPr="006C7DFA">
        <w:rPr>
          <w:lang w:val="bs-Latn-BA"/>
        </w:rPr>
        <w:fldChar w:fldCharType="end"/>
      </w: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AB2F38" w:rsidRPr="006C7DFA" w:rsidRDefault="00AB2F38" w:rsidP="00AB2F38">
      <w:pPr>
        <w:rPr>
          <w:lang w:val="bs-Latn-BA"/>
        </w:rPr>
      </w:pPr>
    </w:p>
    <w:p w:rsidR="00E50358" w:rsidRPr="006C7DFA" w:rsidRDefault="00E50358" w:rsidP="00AB2F38">
      <w:pPr>
        <w:rPr>
          <w:lang w:val="bs-Latn-BA"/>
        </w:rPr>
      </w:pPr>
    </w:p>
    <w:p w:rsidR="00E50358" w:rsidRPr="006C7DFA" w:rsidRDefault="00E50358" w:rsidP="00AB2F38">
      <w:pPr>
        <w:rPr>
          <w:lang w:val="bs-Latn-BA"/>
        </w:rPr>
      </w:pPr>
    </w:p>
    <w:p w:rsidR="00E50358" w:rsidRPr="006C7DFA" w:rsidRDefault="00E50358" w:rsidP="00AB2F38">
      <w:pPr>
        <w:rPr>
          <w:lang w:val="bs-Latn-BA"/>
        </w:rPr>
      </w:pPr>
    </w:p>
    <w:p w:rsidR="00E50358" w:rsidRPr="006C7DFA" w:rsidRDefault="00E50358" w:rsidP="00AB2F38">
      <w:pPr>
        <w:rPr>
          <w:lang w:val="bs-Latn-BA"/>
        </w:rPr>
      </w:pPr>
    </w:p>
    <w:p w:rsidR="00E50358" w:rsidRPr="006C7DFA" w:rsidRDefault="00E50358" w:rsidP="00AB2F38">
      <w:pPr>
        <w:rPr>
          <w:lang w:val="bs-Latn-BA"/>
        </w:rPr>
      </w:pPr>
    </w:p>
    <w:p w:rsidR="00AB2F38" w:rsidRPr="006C7DFA" w:rsidRDefault="00AB2F38" w:rsidP="00AB2F38">
      <w:pPr>
        <w:pStyle w:val="Heading1"/>
        <w:keepLines w:val="0"/>
        <w:numPr>
          <w:ilvl w:val="0"/>
          <w:numId w:val="10"/>
        </w:numPr>
        <w:spacing w:before="240" w:after="60" w:line="360" w:lineRule="auto"/>
        <w:jc w:val="both"/>
        <w:rPr>
          <w:lang w:val="bs-Latn-BA"/>
        </w:rPr>
      </w:pPr>
      <w:bookmarkStart w:id="0" w:name="_Toc528923002"/>
      <w:r w:rsidRPr="006C7DFA">
        <w:rPr>
          <w:lang w:val="bs-Latn-BA"/>
        </w:rPr>
        <w:lastRenderedPageBreak/>
        <w:t>Uvod</w:t>
      </w:r>
      <w:bookmarkEnd w:id="0"/>
      <w:r w:rsidRPr="006C7DFA">
        <w:rPr>
          <w:lang w:val="bs-Latn-BA"/>
        </w:rPr>
        <w:t xml:space="preserve"> </w:t>
      </w:r>
    </w:p>
    <w:p w:rsidR="00223B3A" w:rsidRPr="006C7DFA" w:rsidRDefault="00B965A9" w:rsidP="009F7EDD">
      <w:pPr>
        <w:spacing w:after="120" w:line="276" w:lineRule="auto"/>
        <w:jc w:val="both"/>
        <w:rPr>
          <w:rFonts w:asciiTheme="majorHAnsi" w:hAnsiTheme="majorHAnsi"/>
          <w:bCs/>
          <w:kern w:val="32"/>
          <w:lang w:val="bs-Latn-BA"/>
        </w:rPr>
      </w:pPr>
      <w:r w:rsidRPr="006C7DFA">
        <w:rPr>
          <w:rFonts w:asciiTheme="majorHAnsi" w:hAnsiTheme="majorHAnsi"/>
          <w:lang w:val="bs-Latn-BA"/>
        </w:rPr>
        <w:t>Strategija razvoja Tuzlanskog kantona 2016.</w:t>
      </w:r>
      <w:r w:rsidR="00F539F0" w:rsidRPr="006C7DFA">
        <w:rPr>
          <w:rFonts w:asciiTheme="majorHAnsi" w:hAnsiTheme="majorHAnsi"/>
          <w:lang w:val="bs-Latn-BA"/>
        </w:rPr>
        <w:t xml:space="preserve"> </w:t>
      </w:r>
      <w:r w:rsidRPr="006C7DFA">
        <w:rPr>
          <w:rFonts w:asciiTheme="majorHAnsi" w:hAnsiTheme="majorHAnsi"/>
          <w:lang w:val="bs-Latn-BA"/>
        </w:rPr>
        <w:t>–</w:t>
      </w:r>
      <w:r w:rsidR="00F539F0" w:rsidRPr="006C7DFA">
        <w:rPr>
          <w:rFonts w:asciiTheme="majorHAnsi" w:hAnsiTheme="majorHAnsi"/>
          <w:lang w:val="bs-Latn-BA"/>
        </w:rPr>
        <w:t xml:space="preserve"> </w:t>
      </w:r>
      <w:r w:rsidRPr="006C7DFA">
        <w:rPr>
          <w:rFonts w:asciiTheme="majorHAnsi" w:hAnsiTheme="majorHAnsi"/>
          <w:lang w:val="bs-Latn-BA"/>
        </w:rPr>
        <w:t xml:space="preserve">2020. godina predstavlja ključni strateško-planski dokument Tuzlanskog kantona, koji treba da podstiče njegov budući rast i razvoj, te predstavlja osnovu za izradu detaljnih planova i programa u pojedinim sektorima, kreira osnovu za praćenje napretka te potiče na saradnju i dogovor u planiranju različitih nivoa vlasti i društveno-ekonomskih partnera. </w:t>
      </w:r>
      <w:r w:rsidR="00FF2C75" w:rsidRPr="006C7DFA">
        <w:rPr>
          <w:rFonts w:asciiTheme="majorHAnsi" w:hAnsiTheme="majorHAnsi"/>
          <w:color w:val="000000"/>
          <w:lang w:val="bs-Latn-BA"/>
        </w:rPr>
        <w:t xml:space="preserve">Strategija </w:t>
      </w:r>
      <w:r w:rsidRPr="006C7DFA">
        <w:rPr>
          <w:rFonts w:asciiTheme="majorHAnsi" w:hAnsiTheme="majorHAnsi"/>
          <w:color w:val="000000"/>
          <w:lang w:val="bs-Latn-BA"/>
        </w:rPr>
        <w:t xml:space="preserve">je usvojena Odlukom </w:t>
      </w:r>
      <w:r w:rsidR="002A7BE2" w:rsidRPr="006C7DFA">
        <w:rPr>
          <w:rFonts w:asciiTheme="majorHAnsi" w:hAnsiTheme="majorHAnsi"/>
          <w:color w:val="000000"/>
          <w:lang w:val="bs-Latn-BA"/>
        </w:rPr>
        <w:t>Skupštin</w:t>
      </w:r>
      <w:r w:rsidR="008A38E5" w:rsidRPr="006C7DFA">
        <w:rPr>
          <w:rFonts w:asciiTheme="majorHAnsi" w:hAnsiTheme="majorHAnsi"/>
          <w:color w:val="000000"/>
          <w:lang w:val="bs-Latn-BA"/>
        </w:rPr>
        <w:t>e</w:t>
      </w:r>
      <w:r w:rsidR="009F7EDD" w:rsidRPr="006C7DFA">
        <w:rPr>
          <w:rFonts w:asciiTheme="majorHAnsi" w:hAnsiTheme="majorHAnsi"/>
          <w:color w:val="000000"/>
          <w:lang w:val="bs-Latn-BA"/>
        </w:rPr>
        <w:t xml:space="preserve"> Tuzlanskog kantona na sjednici održanoj </w:t>
      </w:r>
      <w:r w:rsidR="002A7BE2" w:rsidRPr="006C7DFA">
        <w:rPr>
          <w:rFonts w:asciiTheme="majorHAnsi" w:hAnsiTheme="majorHAnsi"/>
          <w:color w:val="000000"/>
          <w:lang w:val="bs-Latn-BA"/>
        </w:rPr>
        <w:t xml:space="preserve">29.01.2016. godine  </w:t>
      </w:r>
      <w:r w:rsidR="002A7BE2" w:rsidRPr="006C7DFA">
        <w:rPr>
          <w:rFonts w:asciiTheme="majorHAnsi" w:hAnsiTheme="majorHAnsi"/>
          <w:lang w:val="bs-Latn-BA"/>
        </w:rPr>
        <w:t>("Službene novine Tuzlanskog kantona", broj: 2/16 od 12.02.2016.godine)</w:t>
      </w:r>
      <w:r w:rsidR="001C110E" w:rsidRPr="006C7DFA">
        <w:rPr>
          <w:rStyle w:val="FootnoteReference"/>
          <w:rFonts w:asciiTheme="majorHAnsi" w:hAnsiTheme="majorHAnsi"/>
          <w:lang w:val="bs-Latn-BA"/>
        </w:rPr>
        <w:footnoteReference w:id="1"/>
      </w:r>
      <w:r w:rsidR="00CC0298" w:rsidRPr="006C7DFA">
        <w:rPr>
          <w:rFonts w:asciiTheme="majorHAnsi" w:hAnsiTheme="majorHAnsi"/>
          <w:lang w:val="bs-Latn-BA"/>
        </w:rPr>
        <w:t>.</w:t>
      </w:r>
    </w:p>
    <w:p w:rsidR="00455FCB" w:rsidRPr="006C7DFA" w:rsidRDefault="00455FCB" w:rsidP="009F7EDD">
      <w:pPr>
        <w:spacing w:after="120" w:line="276" w:lineRule="auto"/>
        <w:jc w:val="both"/>
        <w:rPr>
          <w:rFonts w:asciiTheme="majorHAnsi" w:hAnsiTheme="majorHAnsi"/>
          <w:lang w:val="bs-Latn-BA"/>
        </w:rPr>
      </w:pPr>
      <w:r w:rsidRPr="006C7DFA">
        <w:rPr>
          <w:rFonts w:asciiTheme="majorHAnsi" w:hAnsiTheme="majorHAnsi"/>
          <w:lang w:val="bs-Latn-BA"/>
        </w:rPr>
        <w:t>Strategijom razvoja</w:t>
      </w:r>
      <w:r w:rsidRPr="006C7DFA">
        <w:rPr>
          <w:rFonts w:asciiTheme="majorHAnsi" w:hAnsiTheme="majorHAnsi"/>
          <w:b/>
          <w:lang w:val="bs-Latn-BA"/>
        </w:rPr>
        <w:t xml:space="preserve"> </w:t>
      </w:r>
      <w:r w:rsidRPr="006C7DFA">
        <w:rPr>
          <w:rFonts w:asciiTheme="majorHAnsi" w:hAnsiTheme="majorHAnsi"/>
          <w:lang w:val="bs-Latn-BA"/>
        </w:rPr>
        <w:t>Tuzlanskog kantona</w:t>
      </w:r>
      <w:r w:rsidRPr="006C7DFA">
        <w:rPr>
          <w:rFonts w:asciiTheme="majorHAnsi" w:hAnsiTheme="majorHAnsi"/>
          <w:b/>
          <w:lang w:val="bs-Latn-BA"/>
        </w:rPr>
        <w:t xml:space="preserve"> </w:t>
      </w:r>
      <w:r w:rsidRPr="006C7DFA">
        <w:rPr>
          <w:rFonts w:asciiTheme="majorHAnsi" w:hAnsiTheme="majorHAnsi"/>
          <w:bCs/>
          <w:kern w:val="32"/>
          <w:lang w:val="bs-Latn-BA"/>
        </w:rPr>
        <w:t>2016. – 2020. godina definisana je v</w:t>
      </w:r>
      <w:r w:rsidRPr="006C7DFA">
        <w:rPr>
          <w:rFonts w:asciiTheme="majorHAnsi" w:hAnsiTheme="majorHAnsi"/>
          <w:lang w:val="bs-Latn-BA"/>
        </w:rPr>
        <w:t>izija razvoja, koja predstavlja težnju, dugoročnu namjeru, pravac djelovanja i poželjno stanje</w:t>
      </w:r>
      <w:r w:rsidR="00FF2C75" w:rsidRPr="006C7DFA">
        <w:rPr>
          <w:rFonts w:asciiTheme="majorHAnsi" w:hAnsiTheme="majorHAnsi"/>
          <w:lang w:val="bs-Latn-BA"/>
        </w:rPr>
        <w:t xml:space="preserve"> kantona</w:t>
      </w:r>
      <w:r w:rsidRPr="006C7DFA">
        <w:rPr>
          <w:rFonts w:asciiTheme="majorHAnsi" w:hAnsiTheme="majorHAnsi"/>
          <w:lang w:val="bs-Latn-BA"/>
        </w:rPr>
        <w:t xml:space="preserve"> u budućnosti. U tom smislu, vizija razvoja Tuzlanskog kantona je predstavljena kao </w:t>
      </w:r>
      <w:r w:rsidRPr="006C7DFA">
        <w:rPr>
          <w:rFonts w:asciiTheme="majorHAnsi" w:hAnsiTheme="majorHAnsi"/>
          <w:i/>
          <w:lang w:val="bs-Latn-BA"/>
        </w:rPr>
        <w:t>„Tuzlanski kanton - otvorena, ekonomski atraktivna i društveno dinamična evropska regija, koja na prepoznatljiv način osigurava spoj industrijske tradicije, održivog razvoja i kvalitete života za svoje građane i ljude koji u njemu borave, rade i investiraju“.</w:t>
      </w:r>
      <w:r w:rsidR="00106A2E" w:rsidRPr="006C7DFA">
        <w:rPr>
          <w:rFonts w:asciiTheme="majorHAnsi" w:hAnsiTheme="majorHAnsi"/>
          <w:lang w:val="bs-Latn-BA"/>
        </w:rPr>
        <w:t xml:space="preserve"> </w:t>
      </w:r>
    </w:p>
    <w:p w:rsidR="00455FCB" w:rsidRPr="006C7DFA" w:rsidRDefault="00455FCB" w:rsidP="009F7EDD">
      <w:pPr>
        <w:spacing w:line="276" w:lineRule="auto"/>
        <w:jc w:val="both"/>
        <w:rPr>
          <w:rFonts w:asciiTheme="majorHAnsi" w:hAnsiTheme="majorHAnsi"/>
          <w:lang w:val="bs-Latn-BA"/>
        </w:rPr>
      </w:pPr>
      <w:r w:rsidRPr="006C7DFA">
        <w:rPr>
          <w:rFonts w:asciiTheme="majorHAnsi" w:hAnsiTheme="majorHAnsi"/>
          <w:lang w:val="bs-Latn-BA"/>
        </w:rPr>
        <w:t>Vizija razvoja Tuzlanskog kantona ostvarit će se kroz 5 strateških ciljeva, a koji se d</w:t>
      </w:r>
      <w:r w:rsidR="00FF2C75" w:rsidRPr="006C7DFA">
        <w:rPr>
          <w:rFonts w:asciiTheme="majorHAnsi" w:hAnsiTheme="majorHAnsi"/>
          <w:lang w:val="bs-Latn-BA"/>
        </w:rPr>
        <w:t>a</w:t>
      </w:r>
      <w:r w:rsidRPr="006C7DFA">
        <w:rPr>
          <w:rFonts w:asciiTheme="majorHAnsi" w:hAnsiTheme="majorHAnsi"/>
          <w:lang w:val="bs-Latn-BA"/>
        </w:rPr>
        <w:t xml:space="preserve">lje razrađuju kroz 15 prioritetnih ciljeva. </w:t>
      </w:r>
    </w:p>
    <w:p w:rsidR="00223B3A" w:rsidRPr="006C7DFA" w:rsidRDefault="00223B3A" w:rsidP="00FF2C75">
      <w:pPr>
        <w:pStyle w:val="Caption"/>
        <w:keepNext/>
        <w:spacing w:after="0" w:line="240" w:lineRule="auto"/>
        <w:jc w:val="center"/>
        <w:rPr>
          <w:rFonts w:asciiTheme="majorHAnsi" w:hAnsiTheme="majorHAnsi" w:cs="Times New Roman"/>
          <w:color w:val="000000" w:themeColor="text1"/>
          <w:sz w:val="20"/>
          <w:szCs w:val="20"/>
          <w:lang w:val="bs-Latn-BA"/>
        </w:rPr>
      </w:pPr>
    </w:p>
    <w:p w:rsidR="00106A2E" w:rsidRPr="006C7DFA" w:rsidRDefault="00106A2E" w:rsidP="00106A2E">
      <w:pPr>
        <w:pStyle w:val="Caption"/>
        <w:keepNext/>
        <w:spacing w:after="0"/>
        <w:jc w:val="center"/>
        <w:rPr>
          <w:rFonts w:asciiTheme="majorHAnsi" w:hAnsiTheme="majorHAnsi"/>
          <w:sz w:val="18"/>
          <w:szCs w:val="18"/>
          <w:lang w:val="bs-Latn-BA"/>
        </w:rPr>
      </w:pPr>
      <w:bookmarkStart w:id="1" w:name="_Toc528923126"/>
      <w:r w:rsidRPr="006C7DFA">
        <w:rPr>
          <w:rFonts w:asciiTheme="majorHAnsi" w:hAnsiTheme="majorHAnsi"/>
          <w:sz w:val="18"/>
          <w:szCs w:val="18"/>
          <w:lang w:val="bs-Latn-BA"/>
        </w:rPr>
        <w:t xml:space="preserve">Tabela </w:t>
      </w:r>
      <w:r w:rsidR="009F0446" w:rsidRPr="006C7DFA">
        <w:rPr>
          <w:rFonts w:asciiTheme="majorHAnsi" w:hAnsiTheme="majorHAnsi"/>
          <w:sz w:val="18"/>
          <w:szCs w:val="18"/>
          <w:lang w:val="bs-Latn-BA"/>
        </w:rPr>
        <w:fldChar w:fldCharType="begin"/>
      </w:r>
      <w:r w:rsidRPr="006C7DFA">
        <w:rPr>
          <w:rFonts w:asciiTheme="majorHAnsi" w:hAnsiTheme="majorHAnsi"/>
          <w:sz w:val="18"/>
          <w:szCs w:val="18"/>
          <w:lang w:val="bs-Latn-BA"/>
        </w:rPr>
        <w:instrText xml:space="preserve"> SEQ Tabela \* ARABIC </w:instrText>
      </w:r>
      <w:r w:rsidR="009F0446" w:rsidRPr="006C7DFA">
        <w:rPr>
          <w:rFonts w:asciiTheme="majorHAnsi" w:hAnsiTheme="majorHAnsi"/>
          <w:sz w:val="18"/>
          <w:szCs w:val="18"/>
          <w:lang w:val="bs-Latn-BA"/>
        </w:rPr>
        <w:fldChar w:fldCharType="separate"/>
      </w:r>
      <w:r w:rsidR="009F7EDD" w:rsidRPr="006C7DFA">
        <w:rPr>
          <w:rFonts w:asciiTheme="majorHAnsi" w:hAnsiTheme="majorHAnsi"/>
          <w:noProof/>
          <w:sz w:val="18"/>
          <w:szCs w:val="18"/>
          <w:lang w:val="bs-Latn-BA"/>
        </w:rPr>
        <w:t>1</w:t>
      </w:r>
      <w:r w:rsidR="009F0446" w:rsidRPr="006C7DFA">
        <w:rPr>
          <w:rFonts w:asciiTheme="majorHAnsi" w:hAnsiTheme="majorHAnsi"/>
          <w:sz w:val="18"/>
          <w:szCs w:val="18"/>
          <w:lang w:val="bs-Latn-BA"/>
        </w:rPr>
        <w:fldChar w:fldCharType="end"/>
      </w:r>
      <w:r w:rsidRPr="006C7DFA">
        <w:rPr>
          <w:rFonts w:asciiTheme="majorHAnsi" w:hAnsiTheme="majorHAnsi"/>
          <w:sz w:val="18"/>
          <w:szCs w:val="18"/>
          <w:lang w:val="bs-Latn-BA"/>
        </w:rPr>
        <w:t>. Pregled strateških i prioritetnih ciljeva</w:t>
      </w:r>
      <w:bookmarkEnd w:id="1"/>
    </w:p>
    <w:tbl>
      <w:tblPr>
        <w:tblStyle w:val="MediumShading1-Accent11"/>
        <w:tblW w:w="0" w:type="auto"/>
        <w:jc w:val="center"/>
        <w:tblBorders>
          <w:insideV w:val="single" w:sz="8" w:space="0" w:color="7BA0CD" w:themeColor="accent1" w:themeTint="BF"/>
        </w:tblBorders>
        <w:tblLook w:val="04A0"/>
      </w:tblPr>
      <w:tblGrid>
        <w:gridCol w:w="4182"/>
        <w:gridCol w:w="5440"/>
      </w:tblGrid>
      <w:tr w:rsidR="003748BA" w:rsidRPr="006C7DFA" w:rsidTr="009F7EDD">
        <w:trPr>
          <w:cnfStyle w:val="100000000000"/>
          <w:trHeight w:val="364"/>
          <w:jc w:val="center"/>
        </w:trPr>
        <w:tc>
          <w:tcPr>
            <w:cnfStyle w:val="001000000000"/>
            <w:tcW w:w="4182" w:type="dxa"/>
            <w:vAlign w:val="center"/>
          </w:tcPr>
          <w:p w:rsidR="003748BA" w:rsidRPr="006C7DFA" w:rsidRDefault="003748BA" w:rsidP="003748BA">
            <w:pPr>
              <w:jc w:val="center"/>
              <w:rPr>
                <w:rFonts w:asciiTheme="majorHAnsi" w:hAnsiTheme="majorHAnsi"/>
                <w:b w:val="0"/>
                <w:sz w:val="18"/>
                <w:szCs w:val="18"/>
                <w:lang w:val="bs-Latn-BA"/>
              </w:rPr>
            </w:pPr>
            <w:r w:rsidRPr="006C7DFA">
              <w:rPr>
                <w:rFonts w:asciiTheme="majorHAnsi" w:hAnsiTheme="majorHAnsi"/>
                <w:b w:val="0"/>
                <w:sz w:val="18"/>
                <w:szCs w:val="18"/>
                <w:lang w:val="bs-Latn-BA"/>
              </w:rPr>
              <w:t>Strateški ciljevi</w:t>
            </w:r>
          </w:p>
        </w:tc>
        <w:tc>
          <w:tcPr>
            <w:tcW w:w="5440" w:type="dxa"/>
            <w:vAlign w:val="center"/>
          </w:tcPr>
          <w:p w:rsidR="003748BA" w:rsidRPr="006C7DFA" w:rsidRDefault="003748BA" w:rsidP="003748BA">
            <w:pPr>
              <w:contextualSpacing/>
              <w:jc w:val="center"/>
              <w:cnfStyle w:val="100000000000"/>
              <w:rPr>
                <w:rFonts w:asciiTheme="majorHAnsi" w:hAnsiTheme="majorHAnsi"/>
                <w:b w:val="0"/>
                <w:bCs w:val="0"/>
                <w:sz w:val="18"/>
                <w:szCs w:val="18"/>
                <w:lang w:val="bs-Latn-BA"/>
              </w:rPr>
            </w:pPr>
            <w:r w:rsidRPr="006C7DFA">
              <w:rPr>
                <w:rFonts w:asciiTheme="majorHAnsi" w:hAnsiTheme="majorHAnsi"/>
                <w:b w:val="0"/>
                <w:bCs w:val="0"/>
                <w:sz w:val="18"/>
                <w:szCs w:val="18"/>
                <w:lang w:val="bs-Latn-BA"/>
              </w:rPr>
              <w:t>Prioritetni ciljevi</w:t>
            </w:r>
          </w:p>
        </w:tc>
      </w:tr>
      <w:tr w:rsidR="003748BA" w:rsidRPr="006C7DFA" w:rsidTr="009F7EDD">
        <w:trPr>
          <w:cnfStyle w:val="000000100000"/>
          <w:trHeight w:val="965"/>
          <w:jc w:val="center"/>
        </w:trPr>
        <w:tc>
          <w:tcPr>
            <w:cnfStyle w:val="001000000000"/>
            <w:tcW w:w="4182" w:type="dxa"/>
            <w:tcBorders>
              <w:right w:val="none" w:sz="0" w:space="0" w:color="auto"/>
            </w:tcBorders>
            <w:vAlign w:val="center"/>
          </w:tcPr>
          <w:p w:rsidR="003748BA" w:rsidRPr="006C7DFA" w:rsidRDefault="003748BA" w:rsidP="003748BA">
            <w:pPr>
              <w:rPr>
                <w:rFonts w:asciiTheme="majorHAnsi" w:hAnsiTheme="majorHAnsi"/>
                <w:b w:val="0"/>
                <w:i/>
                <w:sz w:val="18"/>
                <w:szCs w:val="18"/>
                <w:lang w:val="bs-Latn-BA"/>
              </w:rPr>
            </w:pPr>
            <w:r w:rsidRPr="006C7DFA">
              <w:rPr>
                <w:rFonts w:asciiTheme="majorHAnsi" w:hAnsiTheme="majorHAnsi"/>
                <w:b w:val="0"/>
                <w:i/>
                <w:sz w:val="18"/>
                <w:szCs w:val="18"/>
                <w:lang w:val="bs-Latn-BA"/>
              </w:rPr>
              <w:t>Strateški cilj 1: Osigurati stabilnost i prosperitet razvoja privrede Tuzlanskog kantona</w:t>
            </w:r>
          </w:p>
        </w:tc>
        <w:tc>
          <w:tcPr>
            <w:tcW w:w="5440" w:type="dxa"/>
            <w:tcBorders>
              <w:left w:val="none" w:sz="0" w:space="0" w:color="auto"/>
            </w:tcBorders>
            <w:vAlign w:val="center"/>
          </w:tcPr>
          <w:p w:rsidR="003748BA" w:rsidRPr="006C7DFA" w:rsidRDefault="003748BA" w:rsidP="003748BA">
            <w:pPr>
              <w:numPr>
                <w:ilvl w:val="0"/>
                <w:numId w:val="2"/>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Razviti privredu Tuzlanskog kantona realizacijom novih investicija i poticanjem sektora poduzetništva;</w:t>
            </w:r>
          </w:p>
          <w:p w:rsidR="003748BA" w:rsidRPr="006C7DFA" w:rsidRDefault="003748BA" w:rsidP="003748BA">
            <w:pPr>
              <w:numPr>
                <w:ilvl w:val="0"/>
                <w:numId w:val="2"/>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 xml:space="preserve">Jačati konkurentnost sektora poljoprivrede; </w:t>
            </w:r>
          </w:p>
          <w:p w:rsidR="003748BA" w:rsidRPr="006C7DFA" w:rsidRDefault="003748BA" w:rsidP="003748BA">
            <w:pPr>
              <w:numPr>
                <w:ilvl w:val="0"/>
                <w:numId w:val="2"/>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Unaprijediti prometnu mrežu i povezanost Tuzlanskog kantona sa razvijenim tržištima.</w:t>
            </w:r>
          </w:p>
        </w:tc>
      </w:tr>
      <w:tr w:rsidR="003748BA" w:rsidRPr="006C7DFA" w:rsidTr="00106A2E">
        <w:trPr>
          <w:cnfStyle w:val="000000010000"/>
          <w:trHeight w:val="823"/>
          <w:jc w:val="center"/>
        </w:trPr>
        <w:tc>
          <w:tcPr>
            <w:cnfStyle w:val="001000000000"/>
            <w:tcW w:w="4182" w:type="dxa"/>
            <w:tcBorders>
              <w:right w:val="none" w:sz="0" w:space="0" w:color="auto"/>
            </w:tcBorders>
            <w:vAlign w:val="center"/>
          </w:tcPr>
          <w:p w:rsidR="003748BA" w:rsidRPr="006C7DFA" w:rsidRDefault="003748BA" w:rsidP="003748BA">
            <w:pPr>
              <w:jc w:val="both"/>
              <w:rPr>
                <w:rFonts w:asciiTheme="majorHAnsi" w:hAnsiTheme="majorHAnsi"/>
                <w:b w:val="0"/>
                <w:i/>
                <w:sz w:val="18"/>
                <w:szCs w:val="18"/>
                <w:lang w:val="bs-Latn-BA"/>
              </w:rPr>
            </w:pPr>
            <w:r w:rsidRPr="006C7DFA">
              <w:rPr>
                <w:rFonts w:asciiTheme="majorHAnsi" w:hAnsiTheme="majorHAnsi"/>
                <w:b w:val="0"/>
                <w:i/>
                <w:sz w:val="18"/>
                <w:szCs w:val="18"/>
                <w:lang w:val="bs-Latn-BA"/>
              </w:rPr>
              <w:t>Strateški cilj 2: Uspostaviti efikasne sisteme upravljanja razvojem ljudskih potencijala i tržišta rada, u cilju povećanja zapošljavanja</w:t>
            </w:r>
          </w:p>
        </w:tc>
        <w:tc>
          <w:tcPr>
            <w:tcW w:w="5440" w:type="dxa"/>
            <w:tcBorders>
              <w:left w:val="none" w:sz="0" w:space="0" w:color="auto"/>
            </w:tcBorders>
            <w:vAlign w:val="center"/>
          </w:tcPr>
          <w:p w:rsidR="003748BA" w:rsidRPr="006C7DFA" w:rsidRDefault="003748BA" w:rsidP="003748BA">
            <w:pPr>
              <w:numPr>
                <w:ilvl w:val="0"/>
                <w:numId w:val="3"/>
              </w:numPr>
              <w:contextualSpacing/>
              <w:jc w:val="both"/>
              <w:cnfStyle w:val="000000010000"/>
              <w:rPr>
                <w:rFonts w:asciiTheme="majorHAnsi" w:hAnsiTheme="majorHAnsi"/>
                <w:bCs/>
                <w:sz w:val="18"/>
                <w:szCs w:val="18"/>
                <w:lang w:val="bs-Latn-BA"/>
              </w:rPr>
            </w:pPr>
            <w:r w:rsidRPr="006C7DFA">
              <w:rPr>
                <w:rFonts w:asciiTheme="majorHAnsi" w:hAnsiTheme="majorHAnsi"/>
                <w:bCs/>
                <w:sz w:val="18"/>
                <w:szCs w:val="18"/>
                <w:lang w:val="bs-Latn-BA"/>
              </w:rPr>
              <w:t>Poboljšati kvalitetu obrazovanja i naučno-istraživačkog rada;</w:t>
            </w:r>
          </w:p>
          <w:p w:rsidR="003748BA" w:rsidRPr="006C7DFA" w:rsidRDefault="003748BA" w:rsidP="003748BA">
            <w:pPr>
              <w:numPr>
                <w:ilvl w:val="0"/>
                <w:numId w:val="3"/>
              </w:numPr>
              <w:contextualSpacing/>
              <w:jc w:val="both"/>
              <w:cnfStyle w:val="000000010000"/>
              <w:rPr>
                <w:rFonts w:asciiTheme="majorHAnsi" w:hAnsiTheme="majorHAnsi"/>
                <w:bCs/>
                <w:sz w:val="18"/>
                <w:szCs w:val="18"/>
                <w:lang w:val="bs-Latn-BA"/>
              </w:rPr>
            </w:pPr>
            <w:r w:rsidRPr="006C7DFA">
              <w:rPr>
                <w:rFonts w:asciiTheme="majorHAnsi" w:hAnsiTheme="majorHAnsi"/>
                <w:bCs/>
                <w:sz w:val="18"/>
                <w:szCs w:val="18"/>
                <w:lang w:val="bs-Latn-BA"/>
              </w:rPr>
              <w:t>Jačati i razvijati inkluzivne programe zapošljavanja.</w:t>
            </w:r>
          </w:p>
        </w:tc>
      </w:tr>
      <w:tr w:rsidR="003748BA" w:rsidRPr="006C7DFA" w:rsidTr="009F7EDD">
        <w:trPr>
          <w:cnfStyle w:val="000000100000"/>
          <w:trHeight w:val="765"/>
          <w:jc w:val="center"/>
        </w:trPr>
        <w:tc>
          <w:tcPr>
            <w:cnfStyle w:val="001000000000"/>
            <w:tcW w:w="4182" w:type="dxa"/>
            <w:tcBorders>
              <w:right w:val="none" w:sz="0" w:space="0" w:color="auto"/>
            </w:tcBorders>
            <w:vAlign w:val="center"/>
          </w:tcPr>
          <w:p w:rsidR="003748BA" w:rsidRPr="006C7DFA" w:rsidRDefault="003748BA" w:rsidP="003748BA">
            <w:pPr>
              <w:jc w:val="both"/>
              <w:rPr>
                <w:rFonts w:asciiTheme="majorHAnsi" w:hAnsiTheme="majorHAnsi"/>
                <w:b w:val="0"/>
                <w:i/>
                <w:sz w:val="18"/>
                <w:szCs w:val="18"/>
                <w:lang w:val="bs-Latn-BA"/>
              </w:rPr>
            </w:pPr>
            <w:r w:rsidRPr="006C7DFA">
              <w:rPr>
                <w:rFonts w:asciiTheme="majorHAnsi" w:hAnsiTheme="majorHAnsi"/>
                <w:b w:val="0"/>
                <w:i/>
                <w:sz w:val="18"/>
                <w:szCs w:val="18"/>
                <w:lang w:val="bs-Latn-BA"/>
              </w:rPr>
              <w:t>Strateški cilj 3: Poboljšati kvalitetu života, sigurnost i socijalnu uključenost građana i učiniti politiku socijalne zaštite pravičnom i djelotvornom;</w:t>
            </w:r>
          </w:p>
        </w:tc>
        <w:tc>
          <w:tcPr>
            <w:tcW w:w="5440" w:type="dxa"/>
            <w:tcBorders>
              <w:left w:val="none" w:sz="0" w:space="0" w:color="auto"/>
            </w:tcBorders>
            <w:vAlign w:val="center"/>
          </w:tcPr>
          <w:p w:rsidR="003748BA" w:rsidRPr="006C7DFA" w:rsidRDefault="003748BA" w:rsidP="003748BA">
            <w:pPr>
              <w:numPr>
                <w:ilvl w:val="0"/>
                <w:numId w:val="4"/>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Poticati i razvijati sportsko-kulturne aktivnosti;</w:t>
            </w:r>
          </w:p>
          <w:p w:rsidR="003748BA" w:rsidRPr="006C7DFA" w:rsidRDefault="003748BA" w:rsidP="003748BA">
            <w:pPr>
              <w:numPr>
                <w:ilvl w:val="0"/>
                <w:numId w:val="4"/>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Unaprijediti  socijalnu i zdravstvenu zaštitu;</w:t>
            </w:r>
          </w:p>
          <w:p w:rsidR="003748BA" w:rsidRPr="006C7DFA" w:rsidRDefault="003748BA" w:rsidP="003748BA">
            <w:pPr>
              <w:numPr>
                <w:ilvl w:val="0"/>
                <w:numId w:val="4"/>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Poboljšati bezbjednost građana od prirodnih i drugih opasnosti.</w:t>
            </w:r>
          </w:p>
        </w:tc>
      </w:tr>
      <w:tr w:rsidR="003748BA" w:rsidRPr="006C7DFA" w:rsidTr="009F7EDD">
        <w:trPr>
          <w:cnfStyle w:val="000000010000"/>
          <w:trHeight w:val="1599"/>
          <w:jc w:val="center"/>
        </w:trPr>
        <w:tc>
          <w:tcPr>
            <w:cnfStyle w:val="001000000000"/>
            <w:tcW w:w="4182" w:type="dxa"/>
            <w:tcBorders>
              <w:right w:val="none" w:sz="0" w:space="0" w:color="auto"/>
            </w:tcBorders>
            <w:vAlign w:val="center"/>
          </w:tcPr>
          <w:p w:rsidR="003748BA" w:rsidRPr="006C7DFA" w:rsidRDefault="003748BA" w:rsidP="003748BA">
            <w:pPr>
              <w:jc w:val="both"/>
              <w:rPr>
                <w:rFonts w:asciiTheme="majorHAnsi" w:hAnsiTheme="majorHAnsi"/>
                <w:b w:val="0"/>
                <w:i/>
                <w:sz w:val="18"/>
                <w:szCs w:val="18"/>
                <w:lang w:val="bs-Latn-BA"/>
              </w:rPr>
            </w:pPr>
            <w:r w:rsidRPr="006C7DFA">
              <w:rPr>
                <w:rFonts w:asciiTheme="majorHAnsi" w:hAnsiTheme="majorHAnsi"/>
                <w:b w:val="0"/>
                <w:i/>
                <w:sz w:val="18"/>
                <w:szCs w:val="18"/>
                <w:lang w:val="bs-Latn-BA"/>
              </w:rPr>
              <w:t>Strateški cilj 4: Modernizovati i učiniti ekonomski održivom javnu infrastrukturu, prvenstveno saobraćajnu, vodnu i energetsku</w:t>
            </w:r>
          </w:p>
        </w:tc>
        <w:tc>
          <w:tcPr>
            <w:tcW w:w="5440" w:type="dxa"/>
            <w:tcBorders>
              <w:left w:val="none" w:sz="0" w:space="0" w:color="auto"/>
            </w:tcBorders>
            <w:vAlign w:val="center"/>
          </w:tcPr>
          <w:p w:rsidR="003748BA" w:rsidRPr="006C7DFA" w:rsidRDefault="003748BA" w:rsidP="003748BA">
            <w:pPr>
              <w:numPr>
                <w:ilvl w:val="0"/>
                <w:numId w:val="5"/>
              </w:numPr>
              <w:contextualSpacing/>
              <w:jc w:val="both"/>
              <w:cnfStyle w:val="000000010000"/>
              <w:rPr>
                <w:rFonts w:asciiTheme="majorHAnsi" w:hAnsiTheme="majorHAnsi"/>
                <w:bCs/>
                <w:sz w:val="18"/>
                <w:szCs w:val="18"/>
                <w:lang w:val="bs-Latn-BA"/>
              </w:rPr>
            </w:pPr>
            <w:r w:rsidRPr="006C7DFA">
              <w:rPr>
                <w:rFonts w:asciiTheme="majorHAnsi" w:hAnsiTheme="majorHAnsi"/>
                <w:bCs/>
                <w:sz w:val="18"/>
                <w:szCs w:val="18"/>
                <w:lang w:val="bs-Latn-BA"/>
              </w:rPr>
              <w:t>Izgradnja nove i modernizacija postojeće vodne infrastrukture kako bi se zadovoljile potrebe stanovništva i privrede, te doprinijelo sigurnosti građana i zaštiti okoliša;</w:t>
            </w:r>
          </w:p>
          <w:p w:rsidR="003748BA" w:rsidRPr="006C7DFA" w:rsidRDefault="003748BA" w:rsidP="003748BA">
            <w:pPr>
              <w:numPr>
                <w:ilvl w:val="0"/>
                <w:numId w:val="5"/>
              </w:numPr>
              <w:contextualSpacing/>
              <w:jc w:val="both"/>
              <w:cnfStyle w:val="000000010000"/>
              <w:rPr>
                <w:rFonts w:asciiTheme="majorHAnsi" w:hAnsiTheme="majorHAnsi"/>
                <w:bCs/>
                <w:sz w:val="18"/>
                <w:szCs w:val="18"/>
                <w:lang w:val="bs-Latn-BA"/>
              </w:rPr>
            </w:pPr>
            <w:r w:rsidRPr="006C7DFA">
              <w:rPr>
                <w:rFonts w:asciiTheme="majorHAnsi" w:hAnsiTheme="majorHAnsi"/>
                <w:bCs/>
                <w:sz w:val="18"/>
                <w:szCs w:val="18"/>
                <w:lang w:val="bs-Latn-BA"/>
              </w:rPr>
              <w:t>Infrastrukturu snabdijevanja toplotnom energijom, optimizirati i prilagoditi potrebama stanovništva i privrede;</w:t>
            </w:r>
          </w:p>
          <w:p w:rsidR="003748BA" w:rsidRPr="006C7DFA" w:rsidRDefault="003748BA" w:rsidP="003748BA">
            <w:pPr>
              <w:numPr>
                <w:ilvl w:val="0"/>
                <w:numId w:val="5"/>
              </w:numPr>
              <w:contextualSpacing/>
              <w:jc w:val="both"/>
              <w:cnfStyle w:val="000000010000"/>
              <w:rPr>
                <w:rFonts w:asciiTheme="majorHAnsi" w:hAnsiTheme="majorHAnsi"/>
                <w:bCs/>
                <w:sz w:val="18"/>
                <w:szCs w:val="18"/>
                <w:lang w:val="bs-Latn-BA"/>
              </w:rPr>
            </w:pPr>
            <w:r w:rsidRPr="006C7DFA">
              <w:rPr>
                <w:rFonts w:asciiTheme="majorHAnsi" w:hAnsiTheme="majorHAnsi"/>
                <w:bCs/>
                <w:sz w:val="18"/>
                <w:szCs w:val="18"/>
                <w:lang w:val="bs-Latn-BA"/>
              </w:rPr>
              <w:t>Modernizovati saobraćajnu infrastrukturu i osigurati funkcionalno, ekonomski i okolišno održivo povezivanje sa okruženjem</w:t>
            </w:r>
          </w:p>
        </w:tc>
      </w:tr>
      <w:tr w:rsidR="003748BA" w:rsidRPr="006C7DFA" w:rsidTr="00106A2E">
        <w:trPr>
          <w:cnfStyle w:val="000000100000"/>
          <w:trHeight w:val="1691"/>
          <w:jc w:val="center"/>
        </w:trPr>
        <w:tc>
          <w:tcPr>
            <w:cnfStyle w:val="001000000000"/>
            <w:tcW w:w="4182" w:type="dxa"/>
            <w:tcBorders>
              <w:right w:val="none" w:sz="0" w:space="0" w:color="auto"/>
            </w:tcBorders>
            <w:vAlign w:val="center"/>
          </w:tcPr>
          <w:p w:rsidR="003748BA" w:rsidRPr="006C7DFA" w:rsidRDefault="003748BA" w:rsidP="003748BA">
            <w:pPr>
              <w:jc w:val="both"/>
              <w:rPr>
                <w:rFonts w:asciiTheme="majorHAnsi" w:hAnsiTheme="majorHAnsi"/>
                <w:b w:val="0"/>
                <w:i/>
                <w:sz w:val="18"/>
                <w:szCs w:val="18"/>
                <w:lang w:val="bs-Latn-BA"/>
              </w:rPr>
            </w:pPr>
            <w:r w:rsidRPr="006C7DFA">
              <w:rPr>
                <w:rFonts w:asciiTheme="majorHAnsi" w:hAnsiTheme="majorHAnsi"/>
                <w:b w:val="0"/>
                <w:i/>
                <w:sz w:val="18"/>
                <w:szCs w:val="18"/>
                <w:lang w:val="bs-Latn-BA"/>
              </w:rPr>
              <w:t>Strateški cilj 5: Uspostaviti funkcionalan sistem zaštite okoliša i održivog upravljanja prirodnim resursima</w:t>
            </w:r>
          </w:p>
        </w:tc>
        <w:tc>
          <w:tcPr>
            <w:tcW w:w="5440" w:type="dxa"/>
            <w:tcBorders>
              <w:left w:val="none" w:sz="0" w:space="0" w:color="auto"/>
            </w:tcBorders>
            <w:vAlign w:val="center"/>
          </w:tcPr>
          <w:p w:rsidR="003748BA" w:rsidRPr="006C7DFA" w:rsidRDefault="003748BA" w:rsidP="003748BA">
            <w:pPr>
              <w:numPr>
                <w:ilvl w:val="0"/>
                <w:numId w:val="6"/>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Uspostaviti funkcionalan sistem monitoringa parametara zaštite okoliša kako bi se osiguralo praćenje i unapređenje stanja okoliša;</w:t>
            </w:r>
          </w:p>
          <w:p w:rsidR="003748BA" w:rsidRPr="006C7DFA" w:rsidRDefault="003748BA" w:rsidP="003748BA">
            <w:pPr>
              <w:numPr>
                <w:ilvl w:val="0"/>
                <w:numId w:val="6"/>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Zaštititi okoliš smanjenjem pritisaka i uspostavljanjem održivog upravljanja prirodnim resursima;</w:t>
            </w:r>
          </w:p>
          <w:p w:rsidR="003748BA" w:rsidRPr="006C7DFA" w:rsidRDefault="003748BA" w:rsidP="003748BA">
            <w:pPr>
              <w:numPr>
                <w:ilvl w:val="0"/>
                <w:numId w:val="6"/>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Uspostaviti funkcionalan sistem upravljanja otpadom kako bi se zaštitio okoliš i zdravlje stanovništva.</w:t>
            </w:r>
          </w:p>
          <w:p w:rsidR="003748BA" w:rsidRPr="006C7DFA" w:rsidRDefault="003748BA" w:rsidP="003748BA">
            <w:pPr>
              <w:numPr>
                <w:ilvl w:val="0"/>
                <w:numId w:val="6"/>
              </w:numPr>
              <w:contextualSpacing/>
              <w:jc w:val="both"/>
              <w:cnfStyle w:val="000000100000"/>
              <w:rPr>
                <w:rFonts w:asciiTheme="majorHAnsi" w:hAnsiTheme="majorHAnsi"/>
                <w:bCs/>
                <w:sz w:val="18"/>
                <w:szCs w:val="18"/>
                <w:lang w:val="bs-Latn-BA"/>
              </w:rPr>
            </w:pPr>
            <w:r w:rsidRPr="006C7DFA">
              <w:rPr>
                <w:rFonts w:asciiTheme="majorHAnsi" w:hAnsiTheme="majorHAnsi"/>
                <w:bCs/>
                <w:sz w:val="18"/>
                <w:szCs w:val="18"/>
                <w:lang w:val="bs-Latn-BA"/>
              </w:rPr>
              <w:t>Intenzivirati provedbu principa i mjera energijske efikasnosti.</w:t>
            </w:r>
          </w:p>
        </w:tc>
      </w:tr>
    </w:tbl>
    <w:p w:rsidR="002A7BE2" w:rsidRPr="006C7DFA" w:rsidRDefault="002A7BE2" w:rsidP="009F7EDD">
      <w:pPr>
        <w:spacing w:after="120" w:line="276" w:lineRule="auto"/>
        <w:jc w:val="both"/>
        <w:rPr>
          <w:rFonts w:asciiTheme="majorHAnsi" w:hAnsiTheme="majorHAnsi"/>
          <w:color w:val="000000"/>
          <w:lang w:val="bs-Latn-BA"/>
        </w:rPr>
      </w:pPr>
      <w:r w:rsidRPr="006C7DFA">
        <w:rPr>
          <w:rFonts w:asciiTheme="majorHAnsi" w:hAnsiTheme="majorHAnsi"/>
          <w:color w:val="000000"/>
          <w:lang w:val="bs-Latn-BA"/>
        </w:rPr>
        <w:lastRenderedPageBreak/>
        <w:t xml:space="preserve">Odlukom o usvajanju </w:t>
      </w:r>
      <w:r w:rsidRPr="006C7DFA">
        <w:rPr>
          <w:rFonts w:asciiTheme="majorHAnsi" w:hAnsiTheme="majorHAnsi"/>
          <w:lang w:val="bs-Latn-BA"/>
        </w:rPr>
        <w:t>Strategij</w:t>
      </w:r>
      <w:r w:rsidR="001C110E" w:rsidRPr="006C7DFA">
        <w:rPr>
          <w:rFonts w:asciiTheme="majorHAnsi" w:hAnsiTheme="majorHAnsi"/>
          <w:lang w:val="bs-Latn-BA"/>
        </w:rPr>
        <w:t>e</w:t>
      </w:r>
      <w:r w:rsidRPr="006C7DFA">
        <w:rPr>
          <w:rFonts w:asciiTheme="majorHAnsi" w:hAnsiTheme="majorHAnsi"/>
          <w:lang w:val="bs-Latn-BA"/>
        </w:rPr>
        <w:t xml:space="preserve"> razvoja</w:t>
      </w:r>
      <w:r w:rsidRPr="006C7DFA">
        <w:rPr>
          <w:rFonts w:asciiTheme="majorHAnsi" w:hAnsiTheme="majorHAnsi"/>
          <w:b/>
          <w:lang w:val="bs-Latn-BA"/>
        </w:rPr>
        <w:t xml:space="preserve"> </w:t>
      </w:r>
      <w:r w:rsidRPr="006C7DFA">
        <w:rPr>
          <w:rFonts w:asciiTheme="majorHAnsi" w:hAnsiTheme="majorHAnsi"/>
          <w:lang w:val="bs-Latn-BA"/>
        </w:rPr>
        <w:t>Tuzlanskog kantona</w:t>
      </w:r>
      <w:r w:rsidRPr="006C7DFA">
        <w:rPr>
          <w:rFonts w:asciiTheme="majorHAnsi" w:hAnsiTheme="majorHAnsi"/>
          <w:b/>
          <w:lang w:val="bs-Latn-BA"/>
        </w:rPr>
        <w:t xml:space="preserve"> </w:t>
      </w:r>
      <w:r w:rsidRPr="006C7DFA">
        <w:rPr>
          <w:rFonts w:asciiTheme="majorHAnsi" w:hAnsiTheme="majorHAnsi"/>
          <w:color w:val="000000"/>
          <w:lang w:val="bs-Latn-BA"/>
        </w:rPr>
        <w:t xml:space="preserve">Vlada Tuzlanskog kantona </w:t>
      </w:r>
      <w:r w:rsidR="001C110E" w:rsidRPr="006C7DFA">
        <w:rPr>
          <w:rFonts w:asciiTheme="majorHAnsi" w:hAnsiTheme="majorHAnsi"/>
          <w:color w:val="000000"/>
          <w:lang w:val="bs-Latn-BA"/>
        </w:rPr>
        <w:t xml:space="preserve">zadužena je </w:t>
      </w:r>
      <w:r w:rsidRPr="006C7DFA">
        <w:rPr>
          <w:rFonts w:asciiTheme="majorHAnsi" w:hAnsiTheme="majorHAnsi"/>
          <w:color w:val="000000"/>
          <w:lang w:val="bs-Latn-BA"/>
        </w:rPr>
        <w:t>da svake godine donosi Operativni/Akcioni trogodišnji plan sa finansijskim ok</w:t>
      </w:r>
      <w:r w:rsidR="00B965A9" w:rsidRPr="006C7DFA">
        <w:rPr>
          <w:rFonts w:asciiTheme="majorHAnsi" w:hAnsiTheme="majorHAnsi"/>
          <w:color w:val="000000"/>
          <w:lang w:val="bs-Latn-BA"/>
        </w:rPr>
        <w:t>v</w:t>
      </w:r>
      <w:r w:rsidRPr="006C7DFA">
        <w:rPr>
          <w:rFonts w:asciiTheme="majorHAnsi" w:hAnsiTheme="majorHAnsi"/>
          <w:color w:val="000000"/>
          <w:lang w:val="bs-Latn-BA"/>
        </w:rPr>
        <w:t>irom za</w:t>
      </w:r>
      <w:r w:rsidR="00863B00" w:rsidRPr="006C7DFA">
        <w:rPr>
          <w:rFonts w:asciiTheme="majorHAnsi" w:hAnsiTheme="majorHAnsi"/>
          <w:color w:val="000000"/>
          <w:lang w:val="bs-Latn-BA"/>
        </w:rPr>
        <w:t xml:space="preserve"> sprovođenje Strategije razvoja</w:t>
      </w:r>
      <w:r w:rsidR="003F68FA" w:rsidRPr="006C7DFA">
        <w:rPr>
          <w:rFonts w:asciiTheme="majorHAnsi" w:hAnsiTheme="majorHAnsi"/>
          <w:color w:val="000000"/>
          <w:lang w:val="bs-Latn-BA"/>
        </w:rPr>
        <w:t xml:space="preserve">. </w:t>
      </w:r>
      <w:r w:rsidR="001C110E" w:rsidRPr="006C7DFA">
        <w:rPr>
          <w:rFonts w:asciiTheme="majorHAnsi" w:hAnsiTheme="majorHAnsi"/>
          <w:color w:val="000000"/>
          <w:lang w:val="bs-Latn-BA"/>
        </w:rPr>
        <w:t>Istom odlukom</w:t>
      </w:r>
      <w:r w:rsidR="003F68FA" w:rsidRPr="006C7DFA">
        <w:rPr>
          <w:rFonts w:asciiTheme="majorHAnsi" w:hAnsiTheme="majorHAnsi"/>
          <w:color w:val="000000"/>
          <w:lang w:val="bs-Latn-BA"/>
        </w:rPr>
        <w:t xml:space="preserve"> Ministarstvo </w:t>
      </w:r>
      <w:r w:rsidR="005A7F6E" w:rsidRPr="006C7DFA">
        <w:rPr>
          <w:rFonts w:asciiTheme="majorHAnsi" w:hAnsiTheme="majorHAnsi"/>
          <w:color w:val="000000"/>
          <w:lang w:val="bs-Latn-BA"/>
        </w:rPr>
        <w:t>privrede</w:t>
      </w:r>
      <w:r w:rsidR="00EE396B" w:rsidRPr="006C7DFA">
        <w:rPr>
          <w:rStyle w:val="FootnoteReference"/>
          <w:rFonts w:asciiTheme="majorHAnsi" w:hAnsiTheme="majorHAnsi"/>
          <w:color w:val="000000"/>
          <w:lang w:val="bs-Latn-BA"/>
        </w:rPr>
        <w:footnoteReference w:id="2"/>
      </w:r>
      <w:r w:rsidR="001277C8" w:rsidRPr="006C7DFA">
        <w:rPr>
          <w:rFonts w:asciiTheme="majorHAnsi" w:hAnsiTheme="majorHAnsi"/>
          <w:color w:val="000000"/>
          <w:lang w:val="bs-Latn-BA"/>
        </w:rPr>
        <w:t xml:space="preserve"> </w:t>
      </w:r>
      <w:r w:rsidR="003F68FA" w:rsidRPr="006C7DFA">
        <w:rPr>
          <w:rFonts w:asciiTheme="majorHAnsi" w:hAnsiTheme="majorHAnsi"/>
          <w:color w:val="000000"/>
          <w:lang w:val="bs-Latn-BA"/>
        </w:rPr>
        <w:t xml:space="preserve">je imenovano </w:t>
      </w:r>
      <w:r w:rsidRPr="006C7DFA">
        <w:rPr>
          <w:rFonts w:asciiTheme="majorHAnsi" w:hAnsiTheme="majorHAnsi"/>
          <w:color w:val="000000"/>
          <w:lang w:val="bs-Latn-BA"/>
        </w:rPr>
        <w:t xml:space="preserve">kao Jedinica za planiranje i upravljanje razvojem u Tuzlanskom kantonu </w:t>
      </w:r>
      <w:r w:rsidR="003F68FA" w:rsidRPr="006C7DFA">
        <w:rPr>
          <w:rFonts w:asciiTheme="majorHAnsi" w:hAnsiTheme="majorHAnsi"/>
          <w:color w:val="000000"/>
          <w:lang w:val="bs-Latn-BA"/>
        </w:rPr>
        <w:t xml:space="preserve">i zaduženo je </w:t>
      </w:r>
      <w:r w:rsidRPr="006C7DFA">
        <w:rPr>
          <w:rFonts w:asciiTheme="majorHAnsi" w:hAnsiTheme="majorHAnsi"/>
          <w:color w:val="000000"/>
          <w:lang w:val="bs-Latn-BA"/>
        </w:rPr>
        <w:t xml:space="preserve">da priprema </w:t>
      </w:r>
      <w:r w:rsidR="001C110E" w:rsidRPr="006C7DFA">
        <w:rPr>
          <w:rFonts w:asciiTheme="majorHAnsi" w:hAnsiTheme="majorHAnsi"/>
          <w:color w:val="000000"/>
          <w:lang w:val="bs-Latn-BA"/>
        </w:rPr>
        <w:t>Ope</w:t>
      </w:r>
      <w:r w:rsidR="008A38E5" w:rsidRPr="006C7DFA">
        <w:rPr>
          <w:rFonts w:asciiTheme="majorHAnsi" w:hAnsiTheme="majorHAnsi"/>
          <w:color w:val="000000"/>
          <w:lang w:val="bs-Latn-BA"/>
        </w:rPr>
        <w:t>rativni/Akcioni</w:t>
      </w:r>
      <w:r w:rsidR="001C110E" w:rsidRPr="006C7DFA">
        <w:rPr>
          <w:rFonts w:asciiTheme="majorHAnsi" w:hAnsiTheme="majorHAnsi"/>
          <w:color w:val="000000"/>
          <w:lang w:val="bs-Latn-BA"/>
        </w:rPr>
        <w:t xml:space="preserve"> trogodišnji plan, te </w:t>
      </w:r>
      <w:r w:rsidRPr="006C7DFA">
        <w:rPr>
          <w:rFonts w:asciiTheme="majorHAnsi" w:hAnsiTheme="majorHAnsi"/>
          <w:color w:val="000000"/>
          <w:lang w:val="bs-Latn-BA"/>
        </w:rPr>
        <w:t>izvještaje o stanju implementacije Strateg</w:t>
      </w:r>
      <w:r w:rsidR="001C6F68" w:rsidRPr="006C7DFA">
        <w:rPr>
          <w:rFonts w:asciiTheme="majorHAnsi" w:hAnsiTheme="majorHAnsi"/>
          <w:color w:val="000000"/>
          <w:lang w:val="bs-Latn-BA"/>
        </w:rPr>
        <w:t>ije razvoja Tuzlanskog kantona koje pre</w:t>
      </w:r>
      <w:r w:rsidRPr="006C7DFA">
        <w:rPr>
          <w:rFonts w:asciiTheme="majorHAnsi" w:hAnsiTheme="majorHAnsi"/>
          <w:color w:val="000000"/>
          <w:lang w:val="bs-Latn-BA"/>
        </w:rPr>
        <w:t>dstavlja Vladi</w:t>
      </w:r>
      <w:r w:rsidR="008A38E5" w:rsidRPr="006C7DFA">
        <w:rPr>
          <w:rFonts w:asciiTheme="majorHAnsi" w:hAnsiTheme="majorHAnsi"/>
          <w:color w:val="000000"/>
          <w:lang w:val="bs-Latn-BA"/>
        </w:rPr>
        <w:t xml:space="preserve"> </w:t>
      </w:r>
      <w:r w:rsidRPr="006C7DFA">
        <w:rPr>
          <w:rFonts w:asciiTheme="majorHAnsi" w:hAnsiTheme="majorHAnsi"/>
          <w:color w:val="000000"/>
          <w:lang w:val="bs-Latn-BA"/>
        </w:rPr>
        <w:t>i Skupštini Tuzlanskog kantona.</w:t>
      </w:r>
      <w:r w:rsidR="001C110E" w:rsidRPr="006C7DFA">
        <w:rPr>
          <w:rFonts w:asciiTheme="majorHAnsi" w:hAnsiTheme="majorHAnsi"/>
          <w:color w:val="000000"/>
          <w:lang w:val="bs-Latn-BA"/>
        </w:rPr>
        <w:t xml:space="preserve"> </w:t>
      </w:r>
      <w:r w:rsidRPr="006C7DFA">
        <w:rPr>
          <w:rFonts w:asciiTheme="majorHAnsi" w:hAnsiTheme="majorHAnsi"/>
          <w:color w:val="000000"/>
          <w:lang w:val="bs-Latn-BA"/>
        </w:rPr>
        <w:t>Sva kantonalna ministarstva i drugi kantonalni organi su zaduženi da aktivno učestvuju u razvojnim procesima u Tuzlanskom kantonu, te da imenuju službenike, kao predstavnike svojih organa, koji će biti zaduženi za vršenje poslova koordinacije i druge poslove utvrđene Strategijom razvoja.</w:t>
      </w:r>
    </w:p>
    <w:p w:rsidR="001C110E" w:rsidRPr="006C7DFA" w:rsidRDefault="00B965A9" w:rsidP="009F7EDD">
      <w:pPr>
        <w:spacing w:after="120" w:line="276" w:lineRule="auto"/>
        <w:jc w:val="both"/>
        <w:rPr>
          <w:rFonts w:asciiTheme="majorHAnsi" w:hAnsiTheme="majorHAnsi"/>
          <w:color w:val="000000"/>
          <w:lang w:val="bs-Latn-BA"/>
        </w:rPr>
      </w:pPr>
      <w:r w:rsidRPr="006C7DFA">
        <w:rPr>
          <w:rFonts w:asciiTheme="majorHAnsi" w:hAnsiTheme="majorHAnsi"/>
          <w:color w:val="000000"/>
          <w:lang w:val="bs-Latn-BA"/>
        </w:rPr>
        <w:t xml:space="preserve">Također, </w:t>
      </w:r>
      <w:r w:rsidR="009335C1" w:rsidRPr="006C7DFA">
        <w:rPr>
          <w:rFonts w:asciiTheme="majorHAnsi" w:hAnsiTheme="majorHAnsi"/>
          <w:color w:val="000000"/>
          <w:lang w:val="bs-Latn-BA"/>
        </w:rPr>
        <w:t xml:space="preserve">članom </w:t>
      </w:r>
      <w:r w:rsidR="001C110E" w:rsidRPr="006C7DFA">
        <w:rPr>
          <w:rFonts w:asciiTheme="majorHAnsi" w:hAnsiTheme="majorHAnsi"/>
          <w:color w:val="000000"/>
          <w:lang w:val="bs-Latn-BA"/>
        </w:rPr>
        <w:t>2</w:t>
      </w:r>
      <w:r w:rsidR="009335C1" w:rsidRPr="006C7DFA">
        <w:rPr>
          <w:rFonts w:asciiTheme="majorHAnsi" w:hAnsiTheme="majorHAnsi"/>
          <w:color w:val="000000"/>
          <w:lang w:val="bs-Latn-BA"/>
        </w:rPr>
        <w:t xml:space="preserve">3. Zakona o razvojnom planiranju i upravljanju razvojem u Federaciji BiH („Službene novine Federacije BiH“ broj: 32/17) </w:t>
      </w:r>
      <w:r w:rsidR="001C110E" w:rsidRPr="006C7DFA">
        <w:rPr>
          <w:rFonts w:asciiTheme="majorHAnsi" w:hAnsiTheme="majorHAnsi"/>
          <w:color w:val="000000"/>
          <w:lang w:val="bs-Latn-BA"/>
        </w:rPr>
        <w:t>definisana je obaveza izrade trogodišnjih planova rada koji proiz</w:t>
      </w:r>
      <w:r w:rsidR="008A38E5" w:rsidRPr="006C7DFA">
        <w:rPr>
          <w:rFonts w:asciiTheme="majorHAnsi" w:hAnsiTheme="majorHAnsi"/>
          <w:color w:val="000000"/>
          <w:lang w:val="bs-Latn-BA"/>
        </w:rPr>
        <w:t>i</w:t>
      </w:r>
      <w:r w:rsidR="001C110E" w:rsidRPr="006C7DFA">
        <w:rPr>
          <w:rFonts w:asciiTheme="majorHAnsi" w:hAnsiTheme="majorHAnsi"/>
          <w:color w:val="000000"/>
          <w:lang w:val="bs-Latn-BA"/>
        </w:rPr>
        <w:t>laze iz strateških dokumenata, a koji su osnova za izradu DOB-a i PJI.</w:t>
      </w:r>
      <w:r w:rsidR="00223B3A" w:rsidRPr="006C7DFA">
        <w:rPr>
          <w:rFonts w:asciiTheme="majorHAnsi" w:hAnsiTheme="majorHAnsi"/>
          <w:color w:val="000000"/>
          <w:lang w:val="bs-Latn-BA"/>
        </w:rPr>
        <w:t xml:space="preserve"> Proces razvojnog planiranja u Tuzlanskom kantonu</w:t>
      </w:r>
      <w:r w:rsidR="00EE396B" w:rsidRPr="006C7DFA">
        <w:rPr>
          <w:rFonts w:asciiTheme="majorHAnsi" w:hAnsiTheme="majorHAnsi"/>
          <w:color w:val="000000"/>
          <w:lang w:val="bs-Latn-BA"/>
        </w:rPr>
        <w:t xml:space="preserve"> je</w:t>
      </w:r>
      <w:r w:rsidR="00223B3A" w:rsidRPr="006C7DFA">
        <w:rPr>
          <w:rFonts w:asciiTheme="majorHAnsi" w:hAnsiTheme="majorHAnsi"/>
          <w:color w:val="000000"/>
          <w:lang w:val="bs-Latn-BA"/>
        </w:rPr>
        <w:t xml:space="preserve"> usklađen sa ovim zakonom. </w:t>
      </w:r>
    </w:p>
    <w:p w:rsidR="00AB2F38" w:rsidRPr="006C7DFA" w:rsidRDefault="008A38E5" w:rsidP="009F7EDD">
      <w:pPr>
        <w:pStyle w:val="Heading1"/>
        <w:keepLines w:val="0"/>
        <w:numPr>
          <w:ilvl w:val="0"/>
          <w:numId w:val="10"/>
        </w:numPr>
        <w:spacing w:before="240" w:after="60" w:line="276" w:lineRule="auto"/>
        <w:jc w:val="both"/>
        <w:rPr>
          <w:lang w:val="bs-Latn-BA"/>
        </w:rPr>
      </w:pPr>
      <w:bookmarkStart w:id="2" w:name="_Toc528923003"/>
      <w:r w:rsidRPr="006C7DFA">
        <w:rPr>
          <w:lang w:val="bs-Latn-BA"/>
        </w:rPr>
        <w:t xml:space="preserve">Proces izrade </w:t>
      </w:r>
      <w:r w:rsidR="008D6DA4" w:rsidRPr="006C7DFA">
        <w:rPr>
          <w:lang w:val="bs-Latn-BA"/>
        </w:rPr>
        <w:t>operativnog/</w:t>
      </w:r>
      <w:r w:rsidRPr="006C7DFA">
        <w:rPr>
          <w:lang w:val="bs-Latn-BA"/>
        </w:rPr>
        <w:t>akcionog</w:t>
      </w:r>
      <w:r w:rsidR="00AB2F38" w:rsidRPr="006C7DFA">
        <w:rPr>
          <w:lang w:val="bs-Latn-BA"/>
        </w:rPr>
        <w:t xml:space="preserve"> plana</w:t>
      </w:r>
      <w:bookmarkEnd w:id="2"/>
    </w:p>
    <w:p w:rsidR="00202A43" w:rsidRPr="006C7DFA" w:rsidRDefault="008A38E5" w:rsidP="009F7EDD">
      <w:pPr>
        <w:spacing w:after="120" w:line="276" w:lineRule="auto"/>
        <w:jc w:val="both"/>
        <w:rPr>
          <w:rFonts w:asciiTheme="majorHAnsi" w:hAnsiTheme="majorHAnsi"/>
          <w:lang w:val="bs-Latn-BA"/>
        </w:rPr>
      </w:pPr>
      <w:r w:rsidRPr="006C7DFA">
        <w:rPr>
          <w:rFonts w:asciiTheme="majorHAnsi" w:hAnsiTheme="majorHAnsi"/>
          <w:lang w:val="bs-Latn-BA"/>
        </w:rPr>
        <w:t xml:space="preserve">Trogodišnji </w:t>
      </w:r>
      <w:r w:rsidR="008D6DA4" w:rsidRPr="006C7DFA">
        <w:rPr>
          <w:rFonts w:asciiTheme="majorHAnsi" w:hAnsiTheme="majorHAnsi"/>
          <w:lang w:val="bs-Latn-BA"/>
        </w:rPr>
        <w:t>operativni/</w:t>
      </w:r>
      <w:r w:rsidRPr="006C7DFA">
        <w:rPr>
          <w:rFonts w:asciiTheme="majorHAnsi" w:hAnsiTheme="majorHAnsi"/>
          <w:lang w:val="bs-Latn-BA"/>
        </w:rPr>
        <w:t>akcioni</w:t>
      </w:r>
      <w:r w:rsidR="00B860CD" w:rsidRPr="006C7DFA">
        <w:rPr>
          <w:rFonts w:asciiTheme="majorHAnsi" w:hAnsiTheme="majorHAnsi"/>
          <w:lang w:val="bs-Latn-BA"/>
        </w:rPr>
        <w:t xml:space="preserve"> plan se izrađuje </w:t>
      </w:r>
      <w:r w:rsidR="00CC0298" w:rsidRPr="006C7DFA">
        <w:rPr>
          <w:rFonts w:asciiTheme="majorHAnsi" w:hAnsiTheme="majorHAnsi"/>
          <w:lang w:val="bs-Latn-BA"/>
        </w:rPr>
        <w:t>svake godine za s</w:t>
      </w:r>
      <w:r w:rsidR="00B860CD" w:rsidRPr="006C7DFA">
        <w:rPr>
          <w:rFonts w:asciiTheme="majorHAnsi" w:hAnsiTheme="majorHAnsi"/>
          <w:lang w:val="bs-Latn-BA"/>
        </w:rPr>
        <w:t>lj</w:t>
      </w:r>
      <w:r w:rsidR="00CC0298" w:rsidRPr="006C7DFA">
        <w:rPr>
          <w:rFonts w:asciiTheme="majorHAnsi" w:hAnsiTheme="majorHAnsi"/>
          <w:lang w:val="bs-Latn-BA"/>
        </w:rPr>
        <w:t>e</w:t>
      </w:r>
      <w:r w:rsidR="00B860CD" w:rsidRPr="006C7DFA">
        <w:rPr>
          <w:rFonts w:asciiTheme="majorHAnsi" w:hAnsiTheme="majorHAnsi"/>
          <w:lang w:val="bs-Latn-BA"/>
        </w:rPr>
        <w:t>deće trogodišnje plansko</w:t>
      </w:r>
      <w:r w:rsidR="00CC0298" w:rsidRPr="006C7DFA">
        <w:rPr>
          <w:rFonts w:asciiTheme="majorHAnsi" w:hAnsiTheme="majorHAnsi"/>
          <w:lang w:val="bs-Latn-BA"/>
        </w:rPr>
        <w:t xml:space="preserve"> razdoblje</w:t>
      </w:r>
      <w:r w:rsidR="00B860CD" w:rsidRPr="006C7DFA">
        <w:rPr>
          <w:rFonts w:asciiTheme="majorHAnsi" w:hAnsiTheme="majorHAnsi"/>
          <w:lang w:val="bs-Latn-BA"/>
        </w:rPr>
        <w:t xml:space="preserve"> po principu </w:t>
      </w:r>
      <w:r w:rsidRPr="006C7DFA">
        <w:rPr>
          <w:rFonts w:asciiTheme="majorHAnsi" w:hAnsiTheme="majorHAnsi"/>
          <w:lang w:val="bs-Latn-BA"/>
        </w:rPr>
        <w:t>“</w:t>
      </w:r>
      <w:r w:rsidR="00B860CD" w:rsidRPr="006C7DFA">
        <w:rPr>
          <w:rFonts w:asciiTheme="majorHAnsi" w:hAnsiTheme="majorHAnsi"/>
          <w:lang w:val="bs-Latn-BA"/>
        </w:rPr>
        <w:t>1+2</w:t>
      </w:r>
      <w:r w:rsidRPr="006C7DFA">
        <w:rPr>
          <w:rFonts w:asciiTheme="majorHAnsi" w:hAnsiTheme="majorHAnsi"/>
          <w:lang w:val="bs-Latn-BA"/>
        </w:rPr>
        <w:t>“</w:t>
      </w:r>
      <w:r w:rsidR="00B860CD" w:rsidRPr="006C7DFA">
        <w:rPr>
          <w:rFonts w:asciiTheme="majorHAnsi" w:hAnsiTheme="majorHAnsi"/>
          <w:lang w:val="bs-Latn-BA"/>
        </w:rPr>
        <w:t xml:space="preserve">. </w:t>
      </w:r>
      <w:r w:rsidR="008D6DA4" w:rsidRPr="006C7DFA">
        <w:rPr>
          <w:rFonts w:asciiTheme="majorHAnsi" w:hAnsiTheme="majorHAnsi"/>
          <w:color w:val="333333"/>
          <w:lang w:val="bs-Latn-BA"/>
        </w:rPr>
        <w:t>Operativni/</w:t>
      </w:r>
      <w:r w:rsidRPr="006C7DFA">
        <w:rPr>
          <w:rFonts w:asciiTheme="majorHAnsi" w:hAnsiTheme="majorHAnsi"/>
          <w:lang w:val="bs-Latn-BA"/>
        </w:rPr>
        <w:t>Akcioni</w:t>
      </w:r>
      <w:r w:rsidR="00CC0298" w:rsidRPr="006C7DFA">
        <w:rPr>
          <w:rFonts w:asciiTheme="majorHAnsi" w:hAnsiTheme="majorHAnsi"/>
          <w:lang w:val="bs-Latn-BA"/>
        </w:rPr>
        <w:t xml:space="preserve"> plan 201</w:t>
      </w:r>
      <w:r w:rsidR="005A7F6E" w:rsidRPr="006C7DFA">
        <w:rPr>
          <w:rFonts w:asciiTheme="majorHAnsi" w:hAnsiTheme="majorHAnsi"/>
          <w:lang w:val="bs-Latn-BA"/>
        </w:rPr>
        <w:t>9</w:t>
      </w:r>
      <w:r w:rsidRPr="006C7DFA">
        <w:rPr>
          <w:rFonts w:asciiTheme="majorHAnsi" w:hAnsiTheme="majorHAnsi"/>
          <w:lang w:val="bs-Latn-BA"/>
        </w:rPr>
        <w:t>.</w:t>
      </w:r>
      <w:r w:rsidR="00CC0298" w:rsidRPr="006C7DFA">
        <w:rPr>
          <w:rFonts w:asciiTheme="majorHAnsi" w:hAnsiTheme="majorHAnsi"/>
          <w:lang w:val="bs-Latn-BA"/>
        </w:rPr>
        <w:t>-202</w:t>
      </w:r>
      <w:r w:rsidR="005A7F6E" w:rsidRPr="006C7DFA">
        <w:rPr>
          <w:rFonts w:asciiTheme="majorHAnsi" w:hAnsiTheme="majorHAnsi"/>
          <w:lang w:val="bs-Latn-BA"/>
        </w:rPr>
        <w:t>1</w:t>
      </w:r>
      <w:r w:rsidRPr="006C7DFA">
        <w:rPr>
          <w:rFonts w:asciiTheme="majorHAnsi" w:hAnsiTheme="majorHAnsi"/>
          <w:lang w:val="bs-Latn-BA"/>
        </w:rPr>
        <w:t>. godina izrađen</w:t>
      </w:r>
      <w:r w:rsidR="00CC0298" w:rsidRPr="006C7DFA">
        <w:rPr>
          <w:rFonts w:asciiTheme="majorHAnsi" w:hAnsiTheme="majorHAnsi"/>
          <w:lang w:val="bs-Latn-BA"/>
        </w:rPr>
        <w:t xml:space="preserve"> je na osnovu </w:t>
      </w:r>
      <w:r w:rsidR="007B327E" w:rsidRPr="006C7DFA">
        <w:rPr>
          <w:rFonts w:asciiTheme="majorHAnsi" w:hAnsiTheme="majorHAnsi"/>
          <w:color w:val="333333"/>
          <w:lang w:val="bs-Latn-BA"/>
        </w:rPr>
        <w:t>Operativnog/Akcionog  plana sa finansijskim ok</w:t>
      </w:r>
      <w:r w:rsidRPr="006C7DFA">
        <w:rPr>
          <w:rFonts w:asciiTheme="majorHAnsi" w:hAnsiTheme="majorHAnsi"/>
          <w:color w:val="333333"/>
          <w:lang w:val="bs-Latn-BA"/>
        </w:rPr>
        <w:t>v</w:t>
      </w:r>
      <w:r w:rsidR="007B327E" w:rsidRPr="006C7DFA">
        <w:rPr>
          <w:rFonts w:asciiTheme="majorHAnsi" w:hAnsiTheme="majorHAnsi"/>
          <w:color w:val="333333"/>
          <w:lang w:val="bs-Latn-BA"/>
        </w:rPr>
        <w:t>irom za 201</w:t>
      </w:r>
      <w:r w:rsidR="005A7F6E" w:rsidRPr="006C7DFA">
        <w:rPr>
          <w:rFonts w:asciiTheme="majorHAnsi" w:hAnsiTheme="majorHAnsi"/>
          <w:color w:val="333333"/>
          <w:lang w:val="bs-Latn-BA"/>
        </w:rPr>
        <w:t>8</w:t>
      </w:r>
      <w:r w:rsidR="007B327E" w:rsidRPr="006C7DFA">
        <w:rPr>
          <w:rFonts w:asciiTheme="majorHAnsi" w:hAnsiTheme="majorHAnsi"/>
          <w:color w:val="333333"/>
          <w:lang w:val="bs-Latn-BA"/>
        </w:rPr>
        <w:t>.-20</w:t>
      </w:r>
      <w:r w:rsidR="005A7F6E" w:rsidRPr="006C7DFA">
        <w:rPr>
          <w:rFonts w:asciiTheme="majorHAnsi" w:hAnsiTheme="majorHAnsi"/>
          <w:color w:val="333333"/>
          <w:lang w:val="bs-Latn-BA"/>
        </w:rPr>
        <w:t>20</w:t>
      </w:r>
      <w:r w:rsidR="007B327E" w:rsidRPr="006C7DFA">
        <w:rPr>
          <w:rFonts w:asciiTheme="majorHAnsi" w:hAnsiTheme="majorHAnsi"/>
          <w:color w:val="333333"/>
          <w:lang w:val="bs-Latn-BA"/>
        </w:rPr>
        <w:t xml:space="preserve">.godinu za  </w:t>
      </w:r>
      <w:r w:rsidRPr="006C7DFA">
        <w:rPr>
          <w:rFonts w:asciiTheme="majorHAnsi" w:hAnsiTheme="majorHAnsi"/>
          <w:color w:val="333333"/>
          <w:lang w:val="bs-Latn-BA"/>
        </w:rPr>
        <w:t>implementaciju</w:t>
      </w:r>
      <w:r w:rsidR="007B327E" w:rsidRPr="006C7DFA">
        <w:rPr>
          <w:rFonts w:asciiTheme="majorHAnsi" w:hAnsiTheme="majorHAnsi"/>
          <w:color w:val="333333"/>
          <w:lang w:val="bs-Latn-BA"/>
        </w:rPr>
        <w:t xml:space="preserve"> Strategije razvoja </w:t>
      </w:r>
      <w:r w:rsidR="007B327E" w:rsidRPr="006C7DFA">
        <w:rPr>
          <w:rFonts w:asciiTheme="majorHAnsi" w:hAnsiTheme="majorHAnsi"/>
          <w:color w:val="000000"/>
          <w:lang w:val="bs-Latn-BA"/>
        </w:rPr>
        <w:t>Tuzlanskog kantona za period 2016</w:t>
      </w:r>
      <w:r w:rsidRPr="006C7DFA">
        <w:rPr>
          <w:rFonts w:asciiTheme="majorHAnsi" w:hAnsiTheme="majorHAnsi"/>
          <w:color w:val="000000"/>
          <w:lang w:val="bs-Latn-BA"/>
        </w:rPr>
        <w:t>.</w:t>
      </w:r>
      <w:r w:rsidR="007B327E" w:rsidRPr="006C7DFA">
        <w:rPr>
          <w:rFonts w:asciiTheme="majorHAnsi" w:hAnsiTheme="majorHAnsi"/>
          <w:color w:val="000000"/>
          <w:lang w:val="bs-Latn-BA"/>
        </w:rPr>
        <w:t>-2020.</w:t>
      </w:r>
      <w:r w:rsidRPr="006C7DFA">
        <w:rPr>
          <w:rFonts w:asciiTheme="majorHAnsi" w:hAnsiTheme="majorHAnsi"/>
          <w:color w:val="000000"/>
          <w:lang w:val="bs-Latn-BA"/>
        </w:rPr>
        <w:t xml:space="preserve"> </w:t>
      </w:r>
      <w:r w:rsidR="007B327E" w:rsidRPr="006C7DFA">
        <w:rPr>
          <w:rFonts w:asciiTheme="majorHAnsi" w:hAnsiTheme="majorHAnsi"/>
          <w:color w:val="000000"/>
          <w:lang w:val="bs-Latn-BA"/>
        </w:rPr>
        <w:t xml:space="preserve">godina </w:t>
      </w:r>
      <w:r w:rsidR="007B327E" w:rsidRPr="006C7DFA">
        <w:rPr>
          <w:rFonts w:asciiTheme="majorHAnsi" w:hAnsiTheme="majorHAnsi"/>
          <w:color w:val="333333"/>
          <w:lang w:val="bs-Latn-BA"/>
        </w:rPr>
        <w:t>i Izvještaja o implementaciji Strategije razvoja Tuzlanskog kantona 2016.–2020. godina, za 2017.</w:t>
      </w:r>
      <w:r w:rsidRPr="006C7DFA">
        <w:rPr>
          <w:rFonts w:asciiTheme="majorHAnsi" w:hAnsiTheme="majorHAnsi"/>
          <w:color w:val="333333"/>
          <w:lang w:val="bs-Latn-BA"/>
        </w:rPr>
        <w:t xml:space="preserve"> </w:t>
      </w:r>
      <w:r w:rsidR="00B56208" w:rsidRPr="006C7DFA">
        <w:rPr>
          <w:rFonts w:asciiTheme="majorHAnsi" w:hAnsiTheme="majorHAnsi"/>
          <w:color w:val="333333"/>
          <w:lang w:val="bs-Latn-BA"/>
        </w:rPr>
        <w:t>godinu</w:t>
      </w:r>
      <w:r w:rsidR="007B327E" w:rsidRPr="006C7DFA">
        <w:rPr>
          <w:rFonts w:asciiTheme="majorHAnsi" w:hAnsiTheme="majorHAnsi"/>
          <w:color w:val="333333"/>
          <w:lang w:val="bs-Latn-BA"/>
        </w:rPr>
        <w:t xml:space="preserve">, te </w:t>
      </w:r>
      <w:r w:rsidR="00CC0298" w:rsidRPr="006C7DFA">
        <w:rPr>
          <w:rFonts w:asciiTheme="majorHAnsi" w:hAnsiTheme="majorHAnsi"/>
          <w:lang w:val="bs-Latn-BA"/>
        </w:rPr>
        <w:t xml:space="preserve">na osnovu prikupljenih podataka od strane relevantnih aktera uključenih u proces implementacije strategije. </w:t>
      </w:r>
    </w:p>
    <w:p w:rsidR="00CC0298" w:rsidRPr="006C7DFA" w:rsidRDefault="00202A43" w:rsidP="009F7EDD">
      <w:pPr>
        <w:spacing w:line="276" w:lineRule="auto"/>
        <w:jc w:val="both"/>
        <w:rPr>
          <w:rFonts w:asciiTheme="majorHAnsi" w:hAnsiTheme="majorHAnsi"/>
          <w:lang w:val="bs-Latn-BA"/>
        </w:rPr>
      </w:pPr>
      <w:r w:rsidRPr="006C7DFA">
        <w:rPr>
          <w:rFonts w:asciiTheme="majorHAnsi" w:hAnsiTheme="majorHAnsi"/>
          <w:lang w:val="bs-Latn-BA"/>
        </w:rPr>
        <w:t xml:space="preserve">Strategijom razvoja Tuzlanskog kantona </w:t>
      </w:r>
      <w:r w:rsidRPr="006C7DFA">
        <w:rPr>
          <w:rFonts w:asciiTheme="majorHAnsi" w:hAnsiTheme="majorHAnsi"/>
          <w:bCs/>
          <w:kern w:val="32"/>
          <w:lang w:val="bs-Latn-BA"/>
        </w:rPr>
        <w:t xml:space="preserve">2016.–2020. godina propisane su </w:t>
      </w:r>
      <w:r w:rsidRPr="006C7DFA">
        <w:rPr>
          <w:rFonts w:asciiTheme="majorHAnsi" w:hAnsiTheme="majorHAnsi"/>
          <w:lang w:val="bs-Latn-BA"/>
        </w:rPr>
        <w:t xml:space="preserve">ključne funkcije kantonalnih ministarstava (i relevantnih sektora) kao i drugih kantonalnih organa uprave i kantonalnih upravnih organizacija unutar sistema za upravljanje razvojem. </w:t>
      </w:r>
      <w:r w:rsidR="00CC0298" w:rsidRPr="006C7DFA">
        <w:rPr>
          <w:rFonts w:asciiTheme="majorHAnsi" w:hAnsiTheme="majorHAnsi"/>
          <w:lang w:val="bs-Latn-BA"/>
        </w:rPr>
        <w:t xml:space="preserve">Tijela koja </w:t>
      </w:r>
      <w:r w:rsidR="008C04CD" w:rsidRPr="006C7DFA">
        <w:rPr>
          <w:rFonts w:asciiTheme="majorHAnsi" w:hAnsiTheme="majorHAnsi"/>
          <w:lang w:val="bs-Latn-BA"/>
        </w:rPr>
        <w:t>učestvuju u izradi akcionog</w:t>
      </w:r>
      <w:r w:rsidR="00CC0298" w:rsidRPr="006C7DFA">
        <w:rPr>
          <w:rFonts w:asciiTheme="majorHAnsi" w:hAnsiTheme="majorHAnsi"/>
          <w:lang w:val="bs-Latn-BA"/>
        </w:rPr>
        <w:t xml:space="preserve"> plana su sljedeća:</w:t>
      </w:r>
    </w:p>
    <w:p w:rsidR="007B327E" w:rsidRPr="006C7DFA" w:rsidRDefault="008C04CD" w:rsidP="009F7EDD">
      <w:pPr>
        <w:pStyle w:val="ListParagraph"/>
        <w:numPr>
          <w:ilvl w:val="0"/>
          <w:numId w:val="18"/>
        </w:numPr>
        <w:spacing w:after="0"/>
        <w:ind w:left="714" w:hanging="357"/>
        <w:contextualSpacing w:val="0"/>
        <w:jc w:val="both"/>
        <w:rPr>
          <w:rFonts w:asciiTheme="majorHAnsi" w:hAnsiTheme="majorHAnsi"/>
          <w:lang w:val="bs-Latn-BA"/>
        </w:rPr>
      </w:pPr>
      <w:r w:rsidRPr="006C7DFA">
        <w:rPr>
          <w:rFonts w:asciiTheme="majorHAnsi" w:hAnsiTheme="majorHAnsi"/>
          <w:lang w:val="bs-Latn-BA"/>
        </w:rPr>
        <w:t xml:space="preserve">Ministarstvo </w:t>
      </w:r>
      <w:r w:rsidR="00781613" w:rsidRPr="006C7DFA">
        <w:rPr>
          <w:rFonts w:asciiTheme="majorHAnsi" w:hAnsiTheme="majorHAnsi"/>
          <w:lang w:val="bs-Latn-BA"/>
        </w:rPr>
        <w:t>privrede</w:t>
      </w:r>
      <w:r w:rsidR="001277C8" w:rsidRPr="006C7DFA">
        <w:rPr>
          <w:rFonts w:asciiTheme="majorHAnsi" w:hAnsiTheme="majorHAnsi"/>
          <w:lang w:val="bs-Latn-BA"/>
        </w:rPr>
        <w:t xml:space="preserve"> </w:t>
      </w:r>
      <w:r w:rsidR="007B327E" w:rsidRPr="006C7DFA">
        <w:rPr>
          <w:rFonts w:asciiTheme="majorHAnsi" w:hAnsiTheme="majorHAnsi"/>
          <w:lang w:val="bs-Latn-BA"/>
        </w:rPr>
        <w:t xml:space="preserve">kao </w:t>
      </w:r>
      <w:r w:rsidR="007B327E" w:rsidRPr="006C7DFA">
        <w:rPr>
          <w:rFonts w:asciiTheme="majorHAnsi" w:hAnsiTheme="majorHAnsi" w:cs="Times New Roman"/>
          <w:color w:val="000000"/>
          <w:lang w:val="bs-Latn-BA"/>
        </w:rPr>
        <w:t xml:space="preserve">Jedinica za planiranje i upravljanje razvojem u Tuzlanskom kantonu i zaduženo je da priprema </w:t>
      </w:r>
      <w:r w:rsidRPr="006C7DFA">
        <w:rPr>
          <w:rFonts w:asciiTheme="majorHAnsi" w:hAnsiTheme="majorHAnsi"/>
          <w:color w:val="000000"/>
          <w:lang w:val="bs-Latn-BA"/>
        </w:rPr>
        <w:t>Operativni/Akcioni</w:t>
      </w:r>
      <w:r w:rsidR="007B327E" w:rsidRPr="006C7DFA">
        <w:rPr>
          <w:rFonts w:asciiTheme="majorHAnsi" w:hAnsiTheme="majorHAnsi"/>
          <w:color w:val="000000"/>
          <w:lang w:val="bs-Latn-BA"/>
        </w:rPr>
        <w:t xml:space="preserve"> trogodišnji plan. Imenovano je O</w:t>
      </w:r>
      <w:r w:rsidR="00223B3A" w:rsidRPr="006C7DFA">
        <w:rPr>
          <w:rFonts w:asciiTheme="majorHAnsi" w:hAnsiTheme="majorHAnsi"/>
          <w:color w:val="000000"/>
          <w:lang w:val="bs-Latn-BA"/>
        </w:rPr>
        <w:t>dlukom Skupštine Tuzlanskog kantona o usvajanju st</w:t>
      </w:r>
      <w:r w:rsidR="007B327E" w:rsidRPr="006C7DFA">
        <w:rPr>
          <w:rFonts w:asciiTheme="majorHAnsi" w:hAnsiTheme="majorHAnsi"/>
          <w:color w:val="000000"/>
          <w:lang w:val="bs-Latn-BA"/>
        </w:rPr>
        <w:t>r</w:t>
      </w:r>
      <w:r w:rsidR="00223B3A" w:rsidRPr="006C7DFA">
        <w:rPr>
          <w:rFonts w:asciiTheme="majorHAnsi" w:hAnsiTheme="majorHAnsi"/>
          <w:color w:val="000000"/>
          <w:lang w:val="bs-Latn-BA"/>
        </w:rPr>
        <w:t>a</w:t>
      </w:r>
      <w:r w:rsidR="007B327E" w:rsidRPr="006C7DFA">
        <w:rPr>
          <w:rFonts w:asciiTheme="majorHAnsi" w:hAnsiTheme="majorHAnsi"/>
          <w:color w:val="000000"/>
          <w:lang w:val="bs-Latn-BA"/>
        </w:rPr>
        <w:t>tegije.</w:t>
      </w:r>
    </w:p>
    <w:p w:rsidR="00CC0298" w:rsidRPr="006C7DFA" w:rsidRDefault="00CC0298" w:rsidP="009F7EDD">
      <w:pPr>
        <w:pStyle w:val="ListParagraph"/>
        <w:numPr>
          <w:ilvl w:val="0"/>
          <w:numId w:val="18"/>
        </w:numPr>
        <w:spacing w:after="0"/>
        <w:ind w:left="714" w:hanging="357"/>
        <w:contextualSpacing w:val="0"/>
        <w:jc w:val="both"/>
        <w:rPr>
          <w:rFonts w:asciiTheme="majorHAnsi" w:hAnsiTheme="majorHAnsi"/>
          <w:lang w:val="bs-Latn-BA"/>
        </w:rPr>
      </w:pPr>
      <w:r w:rsidRPr="006C7DFA">
        <w:rPr>
          <w:rFonts w:asciiTheme="majorHAnsi" w:hAnsiTheme="majorHAnsi"/>
          <w:lang w:val="bs-Latn-BA"/>
        </w:rPr>
        <w:t xml:space="preserve">Kantonalni odbor za razvoj (KOR) kao </w:t>
      </w:r>
      <w:r w:rsidR="001C6F68" w:rsidRPr="006C7DFA">
        <w:rPr>
          <w:rFonts w:asciiTheme="majorHAnsi" w:hAnsiTheme="majorHAnsi"/>
          <w:lang w:val="bs-Latn-BA"/>
        </w:rPr>
        <w:t>savjetodavno,</w:t>
      </w:r>
      <w:r w:rsidR="00B56208" w:rsidRPr="006C7DFA">
        <w:rPr>
          <w:rFonts w:asciiTheme="majorHAnsi" w:hAnsiTheme="majorHAnsi"/>
          <w:lang w:val="bs-Latn-BA"/>
        </w:rPr>
        <w:t xml:space="preserve"> </w:t>
      </w:r>
      <w:r w:rsidR="001C6F68" w:rsidRPr="006C7DFA">
        <w:rPr>
          <w:rFonts w:asciiTheme="majorHAnsi" w:hAnsiTheme="majorHAnsi"/>
          <w:lang w:val="bs-Latn-BA"/>
        </w:rPr>
        <w:t xml:space="preserve">koordinaciono i </w:t>
      </w:r>
      <w:r w:rsidR="007B327E" w:rsidRPr="006C7DFA">
        <w:rPr>
          <w:rFonts w:asciiTheme="majorHAnsi" w:hAnsiTheme="majorHAnsi"/>
          <w:lang w:val="bs-Latn-BA"/>
        </w:rPr>
        <w:t>operativno</w:t>
      </w:r>
      <w:r w:rsidRPr="006C7DFA">
        <w:rPr>
          <w:rFonts w:asciiTheme="majorHAnsi" w:hAnsiTheme="majorHAnsi"/>
          <w:lang w:val="bs-Latn-BA"/>
        </w:rPr>
        <w:t xml:space="preserve"> tijelo u procesu planiranja </w:t>
      </w:r>
      <w:r w:rsidRPr="006C7DFA">
        <w:rPr>
          <w:rFonts w:asciiTheme="majorHAnsi" w:hAnsiTheme="majorHAnsi" w:cs="Times New Roman"/>
          <w:lang w:val="bs-Latn-BA"/>
        </w:rPr>
        <w:t>monitoringa, evaluacije i izvještavanja</w:t>
      </w:r>
      <w:r w:rsidRPr="006C7DFA">
        <w:rPr>
          <w:rFonts w:asciiTheme="majorHAnsi" w:hAnsiTheme="majorHAnsi"/>
          <w:lang w:val="bs-Latn-BA"/>
        </w:rPr>
        <w:t>. KOR je osnovan od strane Vlade</w:t>
      </w:r>
      <w:r w:rsidR="008C04CD" w:rsidRPr="006C7DFA">
        <w:rPr>
          <w:rFonts w:asciiTheme="majorHAnsi" w:hAnsiTheme="majorHAnsi"/>
          <w:lang w:val="bs-Latn-BA"/>
        </w:rPr>
        <w:t xml:space="preserve"> Tuzlanskog kantona</w:t>
      </w:r>
      <w:r w:rsidRPr="006C7DFA">
        <w:rPr>
          <w:rFonts w:asciiTheme="majorHAnsi" w:hAnsiTheme="majorHAnsi"/>
          <w:lang w:val="bs-Latn-BA"/>
        </w:rPr>
        <w:t xml:space="preserve"> </w:t>
      </w:r>
      <w:r w:rsidR="007B327E" w:rsidRPr="006C7DFA">
        <w:rPr>
          <w:rFonts w:asciiTheme="majorHAnsi" w:hAnsiTheme="majorHAnsi"/>
          <w:lang w:val="bs-Latn-BA"/>
        </w:rPr>
        <w:t>i</w:t>
      </w:r>
      <w:r w:rsidRPr="006C7DFA">
        <w:rPr>
          <w:rFonts w:asciiTheme="majorHAnsi" w:hAnsiTheme="majorHAnsi"/>
          <w:lang w:val="bs-Latn-BA"/>
        </w:rPr>
        <w:t xml:space="preserve"> ima operativnu </w:t>
      </w:r>
      <w:r w:rsidR="008C04CD" w:rsidRPr="006C7DFA">
        <w:rPr>
          <w:rFonts w:asciiTheme="majorHAnsi" w:hAnsiTheme="majorHAnsi"/>
          <w:lang w:val="bs-Latn-BA"/>
        </w:rPr>
        <w:t>ulogu u procesu izrade akcionog</w:t>
      </w:r>
      <w:r w:rsidRPr="006C7DFA">
        <w:rPr>
          <w:rFonts w:asciiTheme="majorHAnsi" w:hAnsiTheme="majorHAnsi"/>
          <w:lang w:val="bs-Latn-BA"/>
        </w:rPr>
        <w:t xml:space="preserve"> plana.</w:t>
      </w:r>
    </w:p>
    <w:p w:rsidR="007B327E" w:rsidRPr="006C7DFA" w:rsidRDefault="007B327E" w:rsidP="009F7EDD">
      <w:pPr>
        <w:pStyle w:val="ListParagraph"/>
        <w:numPr>
          <w:ilvl w:val="0"/>
          <w:numId w:val="18"/>
        </w:numPr>
        <w:spacing w:after="0"/>
        <w:ind w:left="714" w:hanging="357"/>
        <w:contextualSpacing w:val="0"/>
        <w:jc w:val="both"/>
        <w:rPr>
          <w:rFonts w:asciiTheme="majorHAnsi" w:hAnsiTheme="majorHAnsi"/>
          <w:color w:val="000000"/>
          <w:lang w:val="bs-Latn-BA"/>
        </w:rPr>
      </w:pPr>
      <w:r w:rsidRPr="006C7DFA">
        <w:rPr>
          <w:rFonts w:asciiTheme="majorHAnsi" w:hAnsiTheme="majorHAnsi"/>
          <w:color w:val="000000"/>
          <w:lang w:val="bs-Latn-BA"/>
        </w:rPr>
        <w:t>Vijeće za razvojno planiranje i upravljanje razvojem Tuzlanskog kantona kao tijelo Vlade Tuzlanskog kantona ima savjet</w:t>
      </w:r>
      <w:r w:rsidR="008C04CD" w:rsidRPr="006C7DFA">
        <w:rPr>
          <w:rFonts w:asciiTheme="majorHAnsi" w:hAnsiTheme="majorHAnsi"/>
          <w:color w:val="000000"/>
          <w:lang w:val="bs-Latn-BA"/>
        </w:rPr>
        <w:t>odavnu ulogu u procesima definis</w:t>
      </w:r>
      <w:r w:rsidRPr="006C7DFA">
        <w:rPr>
          <w:rFonts w:asciiTheme="majorHAnsi" w:hAnsiTheme="majorHAnsi"/>
          <w:color w:val="000000"/>
          <w:lang w:val="bs-Latn-BA"/>
        </w:rPr>
        <w:t xml:space="preserve">anja, implementacije, monitoringa, evaluacije i izvještavanja o realizaciji razvojnih prioriteta u Tuzlanskom kantonu i djeluje u skladu sa </w:t>
      </w:r>
      <w:r w:rsidR="008C04CD" w:rsidRPr="006C7DFA">
        <w:rPr>
          <w:rFonts w:asciiTheme="majorHAnsi" w:hAnsiTheme="majorHAnsi"/>
          <w:color w:val="000000"/>
          <w:lang w:val="bs-Latn-BA"/>
        </w:rPr>
        <w:t>principima</w:t>
      </w:r>
      <w:r w:rsidRPr="006C7DFA">
        <w:rPr>
          <w:rFonts w:asciiTheme="majorHAnsi" w:hAnsiTheme="majorHAnsi"/>
          <w:color w:val="000000"/>
          <w:lang w:val="bs-Latn-BA"/>
        </w:rPr>
        <w:t xml:space="preserve"> partnerstva i saradnje. Osnovano je Odlukom Vlade Tuzlanskog kantona.</w:t>
      </w:r>
    </w:p>
    <w:p w:rsidR="007B327E" w:rsidRPr="006C7DFA" w:rsidRDefault="007B327E" w:rsidP="009F7EDD">
      <w:pPr>
        <w:pStyle w:val="ListParagraph"/>
        <w:numPr>
          <w:ilvl w:val="0"/>
          <w:numId w:val="18"/>
        </w:numPr>
        <w:spacing w:after="120"/>
        <w:ind w:left="714" w:hanging="357"/>
        <w:contextualSpacing w:val="0"/>
        <w:jc w:val="both"/>
        <w:rPr>
          <w:rFonts w:asciiTheme="majorHAnsi" w:hAnsiTheme="majorHAnsi"/>
          <w:color w:val="000000"/>
          <w:lang w:val="bs-Latn-BA"/>
        </w:rPr>
      </w:pPr>
      <w:r w:rsidRPr="006C7DFA">
        <w:rPr>
          <w:rFonts w:asciiTheme="majorHAnsi" w:hAnsiTheme="majorHAnsi"/>
          <w:color w:val="000000"/>
          <w:lang w:val="bs-Latn-BA"/>
        </w:rPr>
        <w:t>Resorna ministarstva, grad i općine</w:t>
      </w:r>
      <w:r w:rsidR="008C04CD" w:rsidRPr="006C7DFA">
        <w:rPr>
          <w:rFonts w:asciiTheme="majorHAnsi" w:hAnsiTheme="majorHAnsi"/>
          <w:color w:val="000000"/>
          <w:lang w:val="bs-Latn-BA"/>
        </w:rPr>
        <w:t>,</w:t>
      </w:r>
      <w:r w:rsidRPr="006C7DFA">
        <w:rPr>
          <w:rFonts w:asciiTheme="majorHAnsi" w:hAnsiTheme="majorHAnsi"/>
          <w:color w:val="000000"/>
          <w:lang w:val="bs-Latn-BA"/>
        </w:rPr>
        <w:t xml:space="preserve"> </w:t>
      </w:r>
      <w:r w:rsidR="008C04CD" w:rsidRPr="006C7DFA">
        <w:rPr>
          <w:rFonts w:asciiTheme="majorHAnsi" w:hAnsiTheme="majorHAnsi"/>
          <w:color w:val="000000"/>
          <w:lang w:val="bs-Latn-BA"/>
        </w:rPr>
        <w:t>te</w:t>
      </w:r>
      <w:r w:rsidRPr="006C7DFA">
        <w:rPr>
          <w:rFonts w:asciiTheme="majorHAnsi" w:hAnsiTheme="majorHAnsi"/>
          <w:color w:val="000000"/>
          <w:lang w:val="bs-Latn-BA"/>
        </w:rPr>
        <w:t xml:space="preserve"> drugi </w:t>
      </w:r>
      <w:r w:rsidR="008C04CD" w:rsidRPr="006C7DFA">
        <w:rPr>
          <w:rFonts w:asciiTheme="majorHAnsi" w:hAnsiTheme="majorHAnsi"/>
          <w:color w:val="000000"/>
          <w:lang w:val="bs-Latn-BA"/>
        </w:rPr>
        <w:t xml:space="preserve">javni </w:t>
      </w:r>
      <w:r w:rsidRPr="006C7DFA">
        <w:rPr>
          <w:rFonts w:asciiTheme="majorHAnsi" w:hAnsiTheme="majorHAnsi"/>
          <w:color w:val="000000"/>
          <w:lang w:val="bs-Latn-BA"/>
        </w:rPr>
        <w:t xml:space="preserve">organi iz Tuzlanskog kantona koji imaju aktivnu ulogu u implementaciji </w:t>
      </w:r>
      <w:r w:rsidR="008C04CD" w:rsidRPr="006C7DFA">
        <w:rPr>
          <w:rFonts w:asciiTheme="majorHAnsi" w:hAnsiTheme="majorHAnsi"/>
          <w:color w:val="000000"/>
          <w:lang w:val="bs-Latn-BA"/>
        </w:rPr>
        <w:t>strategije.</w:t>
      </w:r>
    </w:p>
    <w:p w:rsidR="00B860CD" w:rsidRPr="006C7DFA" w:rsidRDefault="007B327E" w:rsidP="009F7EDD">
      <w:pPr>
        <w:spacing w:after="120" w:line="276" w:lineRule="auto"/>
        <w:jc w:val="both"/>
        <w:rPr>
          <w:rFonts w:asciiTheme="majorHAnsi" w:hAnsiTheme="majorHAnsi"/>
          <w:lang w:val="bs-Latn-BA"/>
        </w:rPr>
      </w:pPr>
      <w:r w:rsidRPr="006C7DFA">
        <w:rPr>
          <w:rFonts w:asciiTheme="majorHAnsi" w:hAnsiTheme="majorHAnsi"/>
          <w:lang w:val="bs-Latn-BA"/>
        </w:rPr>
        <w:lastRenderedPageBreak/>
        <w:t>Proces izrad</w:t>
      </w:r>
      <w:r w:rsidR="008C04CD" w:rsidRPr="006C7DFA">
        <w:rPr>
          <w:rFonts w:asciiTheme="majorHAnsi" w:hAnsiTheme="majorHAnsi"/>
          <w:lang w:val="bs-Latn-BA"/>
        </w:rPr>
        <w:t xml:space="preserve">e </w:t>
      </w:r>
      <w:r w:rsidR="008D6DA4" w:rsidRPr="006C7DFA">
        <w:rPr>
          <w:rFonts w:asciiTheme="majorHAnsi" w:hAnsiTheme="majorHAnsi"/>
          <w:lang w:val="bs-Latn-BA"/>
        </w:rPr>
        <w:t>Operativnog/</w:t>
      </w:r>
      <w:r w:rsidR="008C04CD" w:rsidRPr="006C7DFA">
        <w:rPr>
          <w:rFonts w:asciiTheme="majorHAnsi" w:hAnsiTheme="majorHAnsi"/>
          <w:lang w:val="bs-Latn-BA"/>
        </w:rPr>
        <w:t>Akcionog</w:t>
      </w:r>
      <w:r w:rsidRPr="006C7DFA">
        <w:rPr>
          <w:rFonts w:asciiTheme="majorHAnsi" w:hAnsiTheme="majorHAnsi"/>
          <w:lang w:val="bs-Latn-BA"/>
        </w:rPr>
        <w:t xml:space="preserve"> plana 201</w:t>
      </w:r>
      <w:r w:rsidR="000302B2" w:rsidRPr="006C7DFA">
        <w:rPr>
          <w:rFonts w:asciiTheme="majorHAnsi" w:hAnsiTheme="majorHAnsi"/>
          <w:lang w:val="bs-Latn-BA"/>
        </w:rPr>
        <w:t>9</w:t>
      </w:r>
      <w:r w:rsidR="008C04CD" w:rsidRPr="006C7DFA">
        <w:rPr>
          <w:rFonts w:asciiTheme="majorHAnsi" w:hAnsiTheme="majorHAnsi"/>
          <w:lang w:val="bs-Latn-BA"/>
        </w:rPr>
        <w:t>.</w:t>
      </w:r>
      <w:r w:rsidRPr="006C7DFA">
        <w:rPr>
          <w:rFonts w:asciiTheme="majorHAnsi" w:hAnsiTheme="majorHAnsi"/>
          <w:lang w:val="bs-Latn-BA"/>
        </w:rPr>
        <w:t>-202</w:t>
      </w:r>
      <w:r w:rsidR="000302B2" w:rsidRPr="006C7DFA">
        <w:rPr>
          <w:rFonts w:asciiTheme="majorHAnsi" w:hAnsiTheme="majorHAnsi"/>
          <w:lang w:val="bs-Latn-BA"/>
        </w:rPr>
        <w:t>1</w:t>
      </w:r>
      <w:r w:rsidR="008C04CD" w:rsidRPr="006C7DFA">
        <w:rPr>
          <w:rFonts w:asciiTheme="majorHAnsi" w:hAnsiTheme="majorHAnsi"/>
          <w:lang w:val="bs-Latn-BA"/>
        </w:rPr>
        <w:t>. godina</w:t>
      </w:r>
      <w:r w:rsidRPr="006C7DFA">
        <w:rPr>
          <w:rFonts w:asciiTheme="majorHAnsi" w:hAnsiTheme="majorHAnsi"/>
          <w:lang w:val="bs-Latn-BA"/>
        </w:rPr>
        <w:t xml:space="preserve"> </w:t>
      </w:r>
      <w:r w:rsidR="008C04CD" w:rsidRPr="006C7DFA">
        <w:rPr>
          <w:rFonts w:asciiTheme="majorHAnsi" w:hAnsiTheme="majorHAnsi"/>
          <w:lang w:val="bs-Latn-BA"/>
        </w:rPr>
        <w:t xml:space="preserve">je </w:t>
      </w:r>
      <w:r w:rsidRPr="006C7DFA">
        <w:rPr>
          <w:rFonts w:asciiTheme="majorHAnsi" w:hAnsiTheme="majorHAnsi"/>
          <w:lang w:val="bs-Latn-BA"/>
        </w:rPr>
        <w:t>pokrenut na sastanku KOR-a</w:t>
      </w:r>
      <w:r w:rsidR="00B56208" w:rsidRPr="006C7DFA">
        <w:rPr>
          <w:rFonts w:asciiTheme="majorHAnsi" w:hAnsiTheme="majorHAnsi"/>
          <w:lang w:val="bs-Latn-BA"/>
        </w:rPr>
        <w:t>, koji je održan</w:t>
      </w:r>
      <w:r w:rsidR="000302B2" w:rsidRPr="006C7DFA">
        <w:rPr>
          <w:rFonts w:asciiTheme="majorHAnsi" w:hAnsiTheme="majorHAnsi"/>
          <w:lang w:val="bs-Latn-BA"/>
        </w:rPr>
        <w:t xml:space="preserve"> </w:t>
      </w:r>
      <w:r w:rsidR="00AB28B1" w:rsidRPr="006C7DFA">
        <w:rPr>
          <w:rFonts w:asciiTheme="majorHAnsi" w:hAnsiTheme="majorHAnsi"/>
          <w:lang w:val="bs-Latn-BA"/>
        </w:rPr>
        <w:t>1</w:t>
      </w:r>
      <w:r w:rsidR="000302B2" w:rsidRPr="006C7DFA">
        <w:rPr>
          <w:rFonts w:asciiTheme="majorHAnsi" w:hAnsiTheme="majorHAnsi"/>
          <w:lang w:val="bs-Latn-BA"/>
        </w:rPr>
        <w:t>0.</w:t>
      </w:r>
      <w:r w:rsidR="00B56208" w:rsidRPr="006C7DFA">
        <w:rPr>
          <w:rFonts w:asciiTheme="majorHAnsi" w:hAnsiTheme="majorHAnsi"/>
          <w:lang w:val="bs-Latn-BA"/>
        </w:rPr>
        <w:t xml:space="preserve"> </w:t>
      </w:r>
      <w:r w:rsidR="000302B2" w:rsidRPr="006C7DFA">
        <w:rPr>
          <w:rFonts w:asciiTheme="majorHAnsi" w:hAnsiTheme="majorHAnsi"/>
          <w:lang w:val="bs-Latn-BA"/>
        </w:rPr>
        <w:t>maja 2018.</w:t>
      </w:r>
      <w:r w:rsidR="00B56208" w:rsidRPr="006C7DFA">
        <w:rPr>
          <w:rFonts w:asciiTheme="majorHAnsi" w:hAnsiTheme="majorHAnsi"/>
          <w:lang w:val="bs-Latn-BA"/>
        </w:rPr>
        <w:t xml:space="preserve"> </w:t>
      </w:r>
      <w:r w:rsidR="000302B2" w:rsidRPr="006C7DFA">
        <w:rPr>
          <w:rFonts w:asciiTheme="majorHAnsi" w:hAnsiTheme="majorHAnsi"/>
          <w:lang w:val="bs-Latn-BA"/>
        </w:rPr>
        <w:t xml:space="preserve">godine </w:t>
      </w:r>
      <w:r w:rsidRPr="006C7DFA">
        <w:rPr>
          <w:rFonts w:asciiTheme="majorHAnsi" w:hAnsiTheme="majorHAnsi"/>
          <w:lang w:val="bs-Latn-BA"/>
        </w:rPr>
        <w:t xml:space="preserve">gdje su </w:t>
      </w:r>
      <w:r w:rsidR="00B860CD" w:rsidRPr="006C7DFA">
        <w:rPr>
          <w:rFonts w:asciiTheme="majorHAnsi" w:hAnsiTheme="majorHAnsi"/>
          <w:lang w:val="bs-Latn-BA"/>
        </w:rPr>
        <w:t xml:space="preserve">prezentovani radni materijali i inicijalni prijedlozi sadržaja, formata i elemenata </w:t>
      </w:r>
      <w:r w:rsidR="008C04CD" w:rsidRPr="006C7DFA">
        <w:rPr>
          <w:rFonts w:asciiTheme="majorHAnsi" w:hAnsiTheme="majorHAnsi"/>
          <w:lang w:val="bs-Latn-BA"/>
        </w:rPr>
        <w:t>A</w:t>
      </w:r>
      <w:r w:rsidR="00B860CD" w:rsidRPr="006C7DFA">
        <w:rPr>
          <w:rFonts w:asciiTheme="majorHAnsi" w:hAnsiTheme="majorHAnsi"/>
          <w:lang w:val="bs-Latn-BA"/>
        </w:rPr>
        <w:t xml:space="preserve">kcionog plana, </w:t>
      </w:r>
      <w:r w:rsidR="008C04CD" w:rsidRPr="006C7DFA">
        <w:rPr>
          <w:rFonts w:asciiTheme="majorHAnsi" w:hAnsiTheme="majorHAnsi"/>
          <w:lang w:val="bs-Latn-BA"/>
        </w:rPr>
        <w:t>I</w:t>
      </w:r>
      <w:r w:rsidR="00B860CD" w:rsidRPr="006C7DFA">
        <w:rPr>
          <w:rFonts w:asciiTheme="majorHAnsi" w:hAnsiTheme="majorHAnsi"/>
          <w:lang w:val="bs-Latn-BA"/>
        </w:rPr>
        <w:t>zvještaja o implementaciji Strategije razvoja Tuzlanskog kantona</w:t>
      </w:r>
      <w:r w:rsidR="00B56208" w:rsidRPr="006C7DFA">
        <w:rPr>
          <w:rFonts w:asciiTheme="majorHAnsi" w:hAnsiTheme="majorHAnsi"/>
          <w:lang w:val="bs-Latn-BA"/>
        </w:rPr>
        <w:t>,</w:t>
      </w:r>
      <w:r w:rsidR="00B860CD" w:rsidRPr="006C7DFA">
        <w:rPr>
          <w:rFonts w:asciiTheme="majorHAnsi" w:hAnsiTheme="majorHAnsi"/>
          <w:lang w:val="bs-Latn-BA"/>
        </w:rPr>
        <w:t xml:space="preserve"> kao i </w:t>
      </w:r>
      <w:r w:rsidR="008C04CD" w:rsidRPr="006C7DFA">
        <w:rPr>
          <w:rFonts w:asciiTheme="majorHAnsi" w:hAnsiTheme="majorHAnsi"/>
          <w:lang w:val="bs-Latn-BA"/>
        </w:rPr>
        <w:t>I</w:t>
      </w:r>
      <w:r w:rsidR="00B860CD" w:rsidRPr="006C7DFA">
        <w:rPr>
          <w:rFonts w:asciiTheme="majorHAnsi" w:hAnsiTheme="majorHAnsi"/>
          <w:lang w:val="bs-Latn-BA"/>
        </w:rPr>
        <w:t>zvještaja o razvoju Tuzlanskog kantona, te usaglašavanje koraka njihove pripreme, a u cilju da u svim kantonima ovi akti budu urađeni po istom formatu i sadržaju</w:t>
      </w:r>
      <w:r w:rsidR="008C04CD" w:rsidRPr="006C7DFA">
        <w:rPr>
          <w:rFonts w:asciiTheme="majorHAnsi" w:hAnsiTheme="majorHAnsi"/>
          <w:lang w:val="bs-Latn-BA"/>
        </w:rPr>
        <w:t>,</w:t>
      </w:r>
      <w:r w:rsidR="00B860CD" w:rsidRPr="006C7DFA">
        <w:rPr>
          <w:rFonts w:asciiTheme="majorHAnsi" w:hAnsiTheme="majorHAnsi"/>
          <w:lang w:val="bs-Latn-BA"/>
        </w:rPr>
        <w:t xml:space="preserve"> </w:t>
      </w:r>
      <w:r w:rsidR="008C04CD" w:rsidRPr="006C7DFA">
        <w:rPr>
          <w:rFonts w:asciiTheme="majorHAnsi" w:hAnsiTheme="majorHAnsi"/>
          <w:lang w:val="bs-Latn-BA"/>
        </w:rPr>
        <w:t>te da budu</w:t>
      </w:r>
      <w:r w:rsidR="00B860CD" w:rsidRPr="006C7DFA">
        <w:rPr>
          <w:rFonts w:asciiTheme="majorHAnsi" w:hAnsiTheme="majorHAnsi"/>
          <w:lang w:val="bs-Latn-BA"/>
        </w:rPr>
        <w:t xml:space="preserve"> uporedivi.</w:t>
      </w:r>
      <w:r w:rsidRPr="006C7DFA">
        <w:rPr>
          <w:rFonts w:asciiTheme="majorHAnsi" w:hAnsiTheme="majorHAnsi"/>
          <w:lang w:val="bs-Latn-BA"/>
        </w:rPr>
        <w:t xml:space="preserve"> Na sastanku je posebno naglašena potreba da se </w:t>
      </w:r>
      <w:r w:rsidR="008C04CD" w:rsidRPr="006C7DFA">
        <w:rPr>
          <w:rFonts w:asciiTheme="majorHAnsi" w:hAnsiTheme="majorHAnsi"/>
          <w:iCs/>
          <w:lang w:val="bs-Latn-BA"/>
        </w:rPr>
        <w:t>uzme u obzir činjenica</w:t>
      </w:r>
      <w:r w:rsidR="00B860CD" w:rsidRPr="006C7DFA">
        <w:rPr>
          <w:rFonts w:asciiTheme="majorHAnsi" w:hAnsiTheme="majorHAnsi"/>
          <w:iCs/>
          <w:lang w:val="bs-Latn-BA"/>
        </w:rPr>
        <w:t xml:space="preserve"> da sve planirane aktivnosti </w:t>
      </w:r>
      <w:r w:rsidR="00B860CD" w:rsidRPr="006C7DFA">
        <w:rPr>
          <w:rFonts w:asciiTheme="majorHAnsi" w:hAnsiTheme="majorHAnsi"/>
          <w:lang w:val="bs-Latn-BA"/>
        </w:rPr>
        <w:t>trebaju biti ugrađene i u godišnje planove/programe rada nadležnih institucija, odnosno svaka institucija treba usaglasiti svoj godišnji plan/program rada sa ovim trogodišnjim Operativnim/</w:t>
      </w:r>
      <w:r w:rsidR="004904FF" w:rsidRPr="006C7DFA">
        <w:rPr>
          <w:rFonts w:asciiTheme="majorHAnsi" w:hAnsiTheme="majorHAnsi"/>
          <w:lang w:val="bs-Latn-BA"/>
        </w:rPr>
        <w:t xml:space="preserve"> </w:t>
      </w:r>
      <w:r w:rsidR="00B860CD" w:rsidRPr="006C7DFA">
        <w:rPr>
          <w:rFonts w:asciiTheme="majorHAnsi" w:hAnsiTheme="majorHAnsi"/>
          <w:lang w:val="bs-Latn-BA"/>
        </w:rPr>
        <w:t>Akcionim planom</w:t>
      </w:r>
      <w:r w:rsidR="009F7EDD" w:rsidRPr="006C7DFA">
        <w:rPr>
          <w:rFonts w:asciiTheme="majorHAnsi" w:hAnsiTheme="majorHAnsi"/>
          <w:lang w:val="bs-Latn-BA"/>
        </w:rPr>
        <w:t>,</w:t>
      </w:r>
      <w:r w:rsidR="00B860CD" w:rsidRPr="006C7DFA">
        <w:rPr>
          <w:rFonts w:asciiTheme="majorHAnsi" w:hAnsiTheme="majorHAnsi"/>
          <w:lang w:val="bs-Latn-BA"/>
        </w:rPr>
        <w:t xml:space="preserve"> te kasnije po njima i izvještavati.</w:t>
      </w:r>
      <w:r w:rsidR="00F711EB" w:rsidRPr="006C7DFA">
        <w:rPr>
          <w:rFonts w:asciiTheme="majorHAnsi" w:hAnsiTheme="majorHAnsi"/>
          <w:lang w:val="bs-Latn-BA"/>
        </w:rPr>
        <w:t xml:space="preserve"> </w:t>
      </w:r>
    </w:p>
    <w:p w:rsidR="00B860CD" w:rsidRPr="006C7DFA" w:rsidRDefault="00B860CD" w:rsidP="009F7EDD">
      <w:pPr>
        <w:spacing w:after="120" w:line="276" w:lineRule="auto"/>
        <w:jc w:val="both"/>
        <w:rPr>
          <w:rFonts w:asciiTheme="majorHAnsi" w:hAnsiTheme="majorHAnsi"/>
          <w:lang w:val="bs-Latn-BA"/>
        </w:rPr>
      </w:pPr>
      <w:r w:rsidRPr="006C7DFA">
        <w:rPr>
          <w:rFonts w:asciiTheme="majorHAnsi" w:hAnsiTheme="majorHAnsi"/>
          <w:lang w:val="bs-Latn-BA"/>
        </w:rPr>
        <w:t xml:space="preserve">Nakon toga je </w:t>
      </w:r>
      <w:r w:rsidR="008C04CD" w:rsidRPr="006C7DFA">
        <w:rPr>
          <w:rFonts w:asciiTheme="majorHAnsi" w:hAnsiTheme="majorHAnsi"/>
          <w:color w:val="333333"/>
          <w:shd w:val="clear" w:color="auto" w:fill="FFFFFF"/>
          <w:lang w:val="bs-Latn-BA"/>
        </w:rPr>
        <w:t xml:space="preserve">Ministarstvo </w:t>
      </w:r>
      <w:r w:rsidR="00AB28B1" w:rsidRPr="006C7DFA">
        <w:rPr>
          <w:rFonts w:asciiTheme="majorHAnsi" w:hAnsiTheme="majorHAnsi"/>
          <w:shd w:val="clear" w:color="auto" w:fill="FFFFFF"/>
          <w:lang w:val="bs-Latn-BA"/>
        </w:rPr>
        <w:t>privrede</w:t>
      </w:r>
      <w:r w:rsidRPr="006C7DFA">
        <w:rPr>
          <w:rFonts w:asciiTheme="majorHAnsi" w:hAnsiTheme="majorHAnsi"/>
          <w:lang w:val="bs-Latn-BA"/>
        </w:rPr>
        <w:t xml:space="preserve"> pokrenulo proceduru prikupljanja prijedloga, primjedbi i sugestija od strane općina, kantonalnih ministarstava i insti</w:t>
      </w:r>
      <w:r w:rsidR="000D6478" w:rsidRPr="006C7DFA">
        <w:rPr>
          <w:rFonts w:asciiTheme="majorHAnsi" w:hAnsiTheme="majorHAnsi"/>
          <w:lang w:val="bs-Latn-BA"/>
        </w:rPr>
        <w:t>tucija u njihovoj nadležnosti, Kantonalne p</w:t>
      </w:r>
      <w:r w:rsidRPr="006C7DFA">
        <w:rPr>
          <w:rFonts w:asciiTheme="majorHAnsi" w:hAnsiTheme="majorHAnsi"/>
          <w:lang w:val="bs-Latn-BA"/>
        </w:rPr>
        <w:t>rivredne komore T</w:t>
      </w:r>
      <w:r w:rsidR="008C04CD" w:rsidRPr="006C7DFA">
        <w:rPr>
          <w:rFonts w:asciiTheme="majorHAnsi" w:hAnsiTheme="majorHAnsi"/>
          <w:lang w:val="bs-Latn-BA"/>
        </w:rPr>
        <w:t>uzla</w:t>
      </w:r>
      <w:r w:rsidRPr="006C7DFA">
        <w:rPr>
          <w:rFonts w:asciiTheme="majorHAnsi" w:hAnsiTheme="majorHAnsi"/>
          <w:lang w:val="bs-Latn-BA"/>
        </w:rPr>
        <w:t xml:space="preserve"> i Obrtničke komore T</w:t>
      </w:r>
      <w:r w:rsidR="008C04CD" w:rsidRPr="006C7DFA">
        <w:rPr>
          <w:rFonts w:asciiTheme="majorHAnsi" w:hAnsiTheme="majorHAnsi"/>
          <w:lang w:val="bs-Latn-BA"/>
        </w:rPr>
        <w:t>uzlanskog kantona</w:t>
      </w:r>
      <w:r w:rsidRPr="006C7DFA">
        <w:rPr>
          <w:rFonts w:asciiTheme="majorHAnsi" w:hAnsiTheme="majorHAnsi"/>
          <w:lang w:val="bs-Latn-BA"/>
        </w:rPr>
        <w:t xml:space="preserve"> kao i drugih nosi</w:t>
      </w:r>
      <w:r w:rsidR="001277C8" w:rsidRPr="006C7DFA">
        <w:rPr>
          <w:rFonts w:asciiTheme="majorHAnsi" w:hAnsiTheme="majorHAnsi"/>
          <w:lang w:val="bs-Latn-BA"/>
        </w:rPr>
        <w:t>la</w:t>
      </w:r>
      <w:r w:rsidRPr="006C7DFA">
        <w:rPr>
          <w:rFonts w:asciiTheme="majorHAnsi" w:hAnsiTheme="majorHAnsi"/>
          <w:lang w:val="bs-Latn-BA"/>
        </w:rPr>
        <w:t xml:space="preserve">ca planiranih aktivnosti, a u cilju pripreme novog </w:t>
      </w:r>
      <w:r w:rsidR="008C04CD" w:rsidRPr="006C7DFA">
        <w:rPr>
          <w:rFonts w:asciiTheme="majorHAnsi" w:hAnsiTheme="majorHAnsi"/>
          <w:lang w:val="bs-Latn-BA"/>
        </w:rPr>
        <w:t xml:space="preserve">trogodišnjeg </w:t>
      </w:r>
      <w:r w:rsidRPr="006C7DFA">
        <w:rPr>
          <w:rFonts w:asciiTheme="majorHAnsi" w:hAnsiTheme="majorHAnsi"/>
          <w:color w:val="333333"/>
          <w:lang w:val="bs-Latn-BA"/>
        </w:rPr>
        <w:t>Operativnog/Akcionog  plana</w:t>
      </w:r>
      <w:r w:rsidRPr="006C7DFA">
        <w:rPr>
          <w:rFonts w:asciiTheme="majorHAnsi" w:hAnsiTheme="majorHAnsi"/>
          <w:lang w:val="bs-Latn-BA"/>
        </w:rPr>
        <w:t xml:space="preserve"> 201</w:t>
      </w:r>
      <w:r w:rsidR="00AB28B1" w:rsidRPr="006C7DFA">
        <w:rPr>
          <w:rFonts w:asciiTheme="majorHAnsi" w:hAnsiTheme="majorHAnsi"/>
          <w:lang w:val="bs-Latn-BA"/>
        </w:rPr>
        <w:t>9</w:t>
      </w:r>
      <w:r w:rsidR="008C04CD" w:rsidRPr="006C7DFA">
        <w:rPr>
          <w:rFonts w:asciiTheme="majorHAnsi" w:hAnsiTheme="majorHAnsi"/>
          <w:lang w:val="bs-Latn-BA"/>
        </w:rPr>
        <w:t>.</w:t>
      </w:r>
      <w:r w:rsidRPr="006C7DFA">
        <w:rPr>
          <w:rFonts w:asciiTheme="majorHAnsi" w:hAnsiTheme="majorHAnsi"/>
          <w:lang w:val="bs-Latn-BA"/>
        </w:rPr>
        <w:t>-202</w:t>
      </w:r>
      <w:r w:rsidR="00AB28B1" w:rsidRPr="006C7DFA">
        <w:rPr>
          <w:rFonts w:asciiTheme="majorHAnsi" w:hAnsiTheme="majorHAnsi"/>
          <w:lang w:val="bs-Latn-BA"/>
        </w:rPr>
        <w:t>1</w:t>
      </w:r>
      <w:r w:rsidRPr="006C7DFA">
        <w:rPr>
          <w:rFonts w:asciiTheme="majorHAnsi" w:hAnsiTheme="majorHAnsi"/>
          <w:lang w:val="bs-Latn-BA"/>
        </w:rPr>
        <w:t>.</w:t>
      </w:r>
      <w:r w:rsidR="008C04CD" w:rsidRPr="006C7DFA">
        <w:rPr>
          <w:rFonts w:asciiTheme="majorHAnsi" w:hAnsiTheme="majorHAnsi"/>
          <w:lang w:val="bs-Latn-BA"/>
        </w:rPr>
        <w:t xml:space="preserve"> godina.</w:t>
      </w:r>
    </w:p>
    <w:p w:rsidR="00AB28B1" w:rsidRPr="006C7DFA" w:rsidRDefault="00B860CD" w:rsidP="009F7EDD">
      <w:pPr>
        <w:spacing w:line="276" w:lineRule="auto"/>
        <w:jc w:val="both"/>
        <w:rPr>
          <w:rFonts w:asciiTheme="majorHAnsi" w:hAnsiTheme="majorHAnsi"/>
          <w:color w:val="333333"/>
          <w:lang w:val="bs-Latn-BA"/>
        </w:rPr>
      </w:pPr>
      <w:r w:rsidRPr="006C7DFA">
        <w:rPr>
          <w:rFonts w:asciiTheme="majorHAnsi" w:hAnsiTheme="majorHAnsi"/>
          <w:color w:val="333333"/>
          <w:shd w:val="clear" w:color="auto" w:fill="FFFFFF"/>
          <w:lang w:val="bs-Latn-BA"/>
        </w:rPr>
        <w:t xml:space="preserve">Također, </w:t>
      </w:r>
      <w:r w:rsidR="008C04CD" w:rsidRPr="006C7DFA">
        <w:rPr>
          <w:rFonts w:asciiTheme="majorHAnsi" w:hAnsiTheme="majorHAnsi"/>
          <w:color w:val="333333"/>
          <w:shd w:val="clear" w:color="auto" w:fill="FFFFFF"/>
          <w:lang w:val="bs-Latn-BA"/>
        </w:rPr>
        <w:t>Ministarstvo</w:t>
      </w:r>
      <w:r w:rsidR="00AB28B1" w:rsidRPr="006C7DFA">
        <w:rPr>
          <w:rFonts w:asciiTheme="majorHAnsi" w:hAnsiTheme="majorHAnsi"/>
          <w:color w:val="333333"/>
          <w:shd w:val="clear" w:color="auto" w:fill="FFFFFF"/>
          <w:lang w:val="bs-Latn-BA"/>
        </w:rPr>
        <w:t xml:space="preserve"> privrede</w:t>
      </w:r>
      <w:r w:rsidR="001277C8" w:rsidRPr="006C7DFA">
        <w:rPr>
          <w:rFonts w:asciiTheme="majorHAnsi" w:hAnsiTheme="majorHAnsi"/>
          <w:color w:val="333333"/>
          <w:shd w:val="clear" w:color="auto" w:fill="FFFFFF"/>
          <w:lang w:val="bs-Latn-BA"/>
        </w:rPr>
        <w:t xml:space="preserve"> </w:t>
      </w:r>
      <w:r w:rsidRPr="006C7DFA">
        <w:rPr>
          <w:rFonts w:asciiTheme="majorHAnsi" w:hAnsiTheme="majorHAnsi"/>
          <w:color w:val="333333"/>
          <w:shd w:val="clear" w:color="auto" w:fill="FFFFFF"/>
          <w:lang w:val="bs-Latn-BA"/>
        </w:rPr>
        <w:t>je 1</w:t>
      </w:r>
      <w:r w:rsidR="00AB28B1" w:rsidRPr="006C7DFA">
        <w:rPr>
          <w:rFonts w:asciiTheme="majorHAnsi" w:hAnsiTheme="majorHAnsi"/>
          <w:color w:val="333333"/>
          <w:shd w:val="clear" w:color="auto" w:fill="FFFFFF"/>
          <w:lang w:val="bs-Latn-BA"/>
        </w:rPr>
        <w:t>5.</w:t>
      </w:r>
      <w:r w:rsidR="000D6478" w:rsidRPr="006C7DFA">
        <w:rPr>
          <w:rFonts w:asciiTheme="majorHAnsi" w:hAnsiTheme="majorHAnsi"/>
          <w:color w:val="333333"/>
          <w:shd w:val="clear" w:color="auto" w:fill="FFFFFF"/>
          <w:lang w:val="bs-Latn-BA"/>
        </w:rPr>
        <w:t xml:space="preserve"> maja </w:t>
      </w:r>
      <w:r w:rsidRPr="006C7DFA">
        <w:rPr>
          <w:rFonts w:asciiTheme="majorHAnsi" w:hAnsiTheme="majorHAnsi"/>
          <w:color w:val="333333"/>
          <w:shd w:val="clear" w:color="auto" w:fill="FFFFFF"/>
          <w:lang w:val="bs-Latn-BA"/>
        </w:rPr>
        <w:t>201</w:t>
      </w:r>
      <w:r w:rsidR="00AB28B1" w:rsidRPr="006C7DFA">
        <w:rPr>
          <w:rFonts w:asciiTheme="majorHAnsi" w:hAnsiTheme="majorHAnsi"/>
          <w:color w:val="333333"/>
          <w:shd w:val="clear" w:color="auto" w:fill="FFFFFF"/>
          <w:lang w:val="bs-Latn-BA"/>
        </w:rPr>
        <w:t>8</w:t>
      </w:r>
      <w:r w:rsidRPr="006C7DFA">
        <w:rPr>
          <w:rFonts w:asciiTheme="majorHAnsi" w:hAnsiTheme="majorHAnsi"/>
          <w:color w:val="333333"/>
          <w:shd w:val="clear" w:color="auto" w:fill="FFFFFF"/>
          <w:lang w:val="bs-Latn-BA"/>
        </w:rPr>
        <w:t xml:space="preserve">. godine na </w:t>
      </w:r>
      <w:r w:rsidR="008C04CD" w:rsidRPr="006C7DFA">
        <w:rPr>
          <w:rFonts w:asciiTheme="majorHAnsi" w:hAnsiTheme="majorHAnsi"/>
          <w:color w:val="333333"/>
          <w:shd w:val="clear" w:color="auto" w:fill="FFFFFF"/>
          <w:lang w:val="bs-Latn-BA"/>
        </w:rPr>
        <w:t>web stranici</w:t>
      </w:r>
      <w:r w:rsidR="00AB28B1" w:rsidRPr="006C7DFA">
        <w:rPr>
          <w:rFonts w:asciiTheme="majorHAnsi" w:hAnsiTheme="majorHAnsi"/>
          <w:color w:val="333333"/>
          <w:shd w:val="clear" w:color="auto" w:fill="FFFFFF"/>
          <w:lang w:val="bs-Latn-BA"/>
        </w:rPr>
        <w:t xml:space="preserve"> Vlade TK na linku</w:t>
      </w:r>
      <w:r w:rsidRPr="006C7DFA">
        <w:rPr>
          <w:rFonts w:asciiTheme="majorHAnsi" w:hAnsiTheme="majorHAnsi"/>
          <w:color w:val="333333"/>
          <w:shd w:val="clear" w:color="auto" w:fill="FFFFFF"/>
          <w:lang w:val="bs-Latn-BA"/>
        </w:rPr>
        <w:t>:</w:t>
      </w:r>
      <w:r w:rsidRPr="006C7DFA">
        <w:rPr>
          <w:rFonts w:asciiTheme="majorHAnsi" w:hAnsiTheme="majorHAnsi"/>
          <w:color w:val="333333"/>
          <w:lang w:val="bs-Latn-BA"/>
        </w:rPr>
        <w:t xml:space="preserve"> </w:t>
      </w:r>
    </w:p>
    <w:p w:rsidR="00B860CD" w:rsidRPr="006C7DFA" w:rsidRDefault="009F0446" w:rsidP="009F7EDD">
      <w:pPr>
        <w:spacing w:after="120" w:line="276" w:lineRule="auto"/>
        <w:jc w:val="both"/>
        <w:rPr>
          <w:rFonts w:asciiTheme="majorHAnsi" w:hAnsiTheme="majorHAnsi"/>
          <w:color w:val="333333"/>
          <w:shd w:val="clear" w:color="auto" w:fill="FFFFFF"/>
          <w:lang w:val="bs-Latn-BA"/>
        </w:rPr>
      </w:pPr>
      <w:hyperlink r:id="rId10" w:history="1">
        <w:r w:rsidR="00AB28B1" w:rsidRPr="006C7DFA">
          <w:rPr>
            <w:rStyle w:val="Hyperlink"/>
            <w:rFonts w:asciiTheme="majorHAnsi" w:hAnsiTheme="majorHAnsi"/>
            <w:lang w:val="bs-Latn-BA"/>
          </w:rPr>
          <w:t>http://www.vladatk.kim.ba/Vlada/Novosti_2018/strat_raz_dok/Javni_poziv_za_ucesce_u_izradi_Akcionog_plana_SR_TK.pdf</w:t>
        </w:r>
      </w:hyperlink>
      <w:r w:rsidR="000D6478" w:rsidRPr="006C7DFA">
        <w:rPr>
          <w:rStyle w:val="Hyperlink"/>
          <w:rFonts w:asciiTheme="majorHAnsi" w:hAnsiTheme="majorHAnsi"/>
          <w:u w:val="none"/>
          <w:lang w:val="bs-Latn-BA"/>
        </w:rPr>
        <w:t xml:space="preserve"> </w:t>
      </w:r>
      <w:r w:rsidR="00AB28B1" w:rsidRPr="006C7DFA">
        <w:rPr>
          <w:rFonts w:asciiTheme="majorHAnsi" w:hAnsiTheme="majorHAnsi"/>
          <w:color w:val="333333"/>
          <w:shd w:val="clear" w:color="auto" w:fill="FFFFFF"/>
          <w:lang w:val="bs-Latn-BA"/>
        </w:rPr>
        <w:t>objavilo</w:t>
      </w:r>
      <w:r w:rsidR="00AB28B1" w:rsidRPr="006C7DFA">
        <w:rPr>
          <w:rFonts w:asciiTheme="majorHAnsi" w:hAnsiTheme="majorHAnsi"/>
          <w:lang w:val="bs-Latn-BA"/>
        </w:rPr>
        <w:t xml:space="preserve"> </w:t>
      </w:r>
      <w:r w:rsidR="00B860CD" w:rsidRPr="006C7DFA">
        <w:rPr>
          <w:rFonts w:asciiTheme="majorHAnsi" w:hAnsiTheme="majorHAnsi"/>
          <w:lang w:val="bs-Latn-BA"/>
        </w:rPr>
        <w:t>Javni p</w:t>
      </w:r>
      <w:r w:rsidR="00B860CD" w:rsidRPr="006C7DFA">
        <w:rPr>
          <w:rFonts w:asciiTheme="majorHAnsi" w:hAnsiTheme="majorHAnsi"/>
          <w:color w:val="333333"/>
          <w:shd w:val="clear" w:color="auto" w:fill="FFFFFF"/>
          <w:lang w:val="bs-Latn-BA"/>
        </w:rPr>
        <w:t>oziv svim zainteres</w:t>
      </w:r>
      <w:r w:rsidR="008C04CD" w:rsidRPr="006C7DFA">
        <w:rPr>
          <w:rFonts w:asciiTheme="majorHAnsi" w:hAnsiTheme="majorHAnsi"/>
          <w:color w:val="333333"/>
          <w:shd w:val="clear" w:color="auto" w:fill="FFFFFF"/>
          <w:lang w:val="bs-Latn-BA"/>
        </w:rPr>
        <w:t>ovanim javnim institucijama/</w:t>
      </w:r>
      <w:r w:rsidR="000D6478" w:rsidRPr="006C7DFA">
        <w:rPr>
          <w:rFonts w:asciiTheme="majorHAnsi" w:hAnsiTheme="majorHAnsi"/>
          <w:color w:val="333333"/>
          <w:shd w:val="clear" w:color="auto" w:fill="FFFFFF"/>
          <w:lang w:val="bs-Latn-BA"/>
        </w:rPr>
        <w:t xml:space="preserve"> </w:t>
      </w:r>
      <w:r w:rsidR="008C04CD" w:rsidRPr="006C7DFA">
        <w:rPr>
          <w:rFonts w:asciiTheme="majorHAnsi" w:hAnsiTheme="majorHAnsi"/>
          <w:color w:val="333333"/>
          <w:shd w:val="clear" w:color="auto" w:fill="FFFFFF"/>
          <w:lang w:val="bs-Latn-BA"/>
        </w:rPr>
        <w:t>udruženjima i fondacijama/privrednim subjektima/medijima/</w:t>
      </w:r>
      <w:r w:rsidR="00B860CD" w:rsidRPr="006C7DFA">
        <w:rPr>
          <w:rFonts w:asciiTheme="majorHAnsi" w:hAnsiTheme="majorHAnsi"/>
          <w:color w:val="333333"/>
          <w:shd w:val="clear" w:color="auto" w:fill="FFFFFF"/>
          <w:lang w:val="bs-Latn-BA"/>
        </w:rPr>
        <w:t>građanima sa područja T</w:t>
      </w:r>
      <w:r w:rsidR="008C04CD" w:rsidRPr="006C7DFA">
        <w:rPr>
          <w:rFonts w:asciiTheme="majorHAnsi" w:hAnsiTheme="majorHAnsi"/>
          <w:color w:val="333333"/>
          <w:shd w:val="clear" w:color="auto" w:fill="FFFFFF"/>
          <w:lang w:val="bs-Latn-BA"/>
        </w:rPr>
        <w:t>uzlanskog kantona</w:t>
      </w:r>
      <w:r w:rsidR="00B860CD" w:rsidRPr="006C7DFA">
        <w:rPr>
          <w:rFonts w:asciiTheme="majorHAnsi" w:hAnsiTheme="majorHAnsi"/>
          <w:color w:val="333333"/>
          <w:shd w:val="clear" w:color="auto" w:fill="FFFFFF"/>
          <w:lang w:val="bs-Latn-BA"/>
        </w:rPr>
        <w:t xml:space="preserve"> za u</w:t>
      </w:r>
      <w:r w:rsidR="008C04CD" w:rsidRPr="006C7DFA">
        <w:rPr>
          <w:rFonts w:asciiTheme="majorHAnsi" w:hAnsiTheme="majorHAnsi"/>
          <w:color w:val="333333"/>
          <w:shd w:val="clear" w:color="auto" w:fill="FFFFFF"/>
          <w:lang w:val="bs-Latn-BA"/>
        </w:rPr>
        <w:t xml:space="preserve">češće u procesu izrade </w:t>
      </w:r>
      <w:r w:rsidR="00B860CD" w:rsidRPr="006C7DFA">
        <w:rPr>
          <w:rFonts w:asciiTheme="majorHAnsi" w:hAnsiTheme="majorHAnsi"/>
          <w:color w:val="333333"/>
          <w:shd w:val="clear" w:color="auto" w:fill="FFFFFF"/>
          <w:lang w:val="bs-Latn-BA"/>
        </w:rPr>
        <w:t>Operativnog</w:t>
      </w:r>
      <w:r w:rsidR="008C04CD" w:rsidRPr="006C7DFA">
        <w:rPr>
          <w:rFonts w:asciiTheme="majorHAnsi" w:hAnsiTheme="majorHAnsi"/>
          <w:color w:val="333333"/>
          <w:shd w:val="clear" w:color="auto" w:fill="FFFFFF"/>
          <w:lang w:val="bs-Latn-BA"/>
        </w:rPr>
        <w:t>/Akcionog</w:t>
      </w:r>
      <w:r w:rsidR="00B860CD" w:rsidRPr="006C7DFA">
        <w:rPr>
          <w:rFonts w:asciiTheme="majorHAnsi" w:hAnsiTheme="majorHAnsi"/>
          <w:color w:val="333333"/>
          <w:shd w:val="clear" w:color="auto" w:fill="FFFFFF"/>
          <w:lang w:val="bs-Latn-BA"/>
        </w:rPr>
        <w:t xml:space="preserve"> plana 201</w:t>
      </w:r>
      <w:r w:rsidR="00AB28B1" w:rsidRPr="006C7DFA">
        <w:rPr>
          <w:rFonts w:asciiTheme="majorHAnsi" w:hAnsiTheme="majorHAnsi"/>
          <w:color w:val="333333"/>
          <w:shd w:val="clear" w:color="auto" w:fill="FFFFFF"/>
          <w:lang w:val="bs-Latn-BA"/>
        </w:rPr>
        <w:t>9</w:t>
      </w:r>
      <w:r w:rsidR="008C04CD" w:rsidRPr="006C7DFA">
        <w:rPr>
          <w:rFonts w:asciiTheme="majorHAnsi" w:hAnsiTheme="majorHAnsi"/>
          <w:color w:val="333333"/>
          <w:shd w:val="clear" w:color="auto" w:fill="FFFFFF"/>
          <w:lang w:val="bs-Latn-BA"/>
        </w:rPr>
        <w:t>.</w:t>
      </w:r>
      <w:r w:rsidR="00B860CD" w:rsidRPr="006C7DFA">
        <w:rPr>
          <w:rFonts w:asciiTheme="majorHAnsi" w:hAnsiTheme="majorHAnsi"/>
          <w:color w:val="333333"/>
          <w:shd w:val="clear" w:color="auto" w:fill="FFFFFF"/>
          <w:lang w:val="bs-Latn-BA"/>
        </w:rPr>
        <w:t>-202</w:t>
      </w:r>
      <w:r w:rsidR="00AB28B1" w:rsidRPr="006C7DFA">
        <w:rPr>
          <w:rFonts w:asciiTheme="majorHAnsi" w:hAnsiTheme="majorHAnsi"/>
          <w:color w:val="333333"/>
          <w:shd w:val="clear" w:color="auto" w:fill="FFFFFF"/>
          <w:lang w:val="bs-Latn-BA"/>
        </w:rPr>
        <w:t>1</w:t>
      </w:r>
      <w:r w:rsidR="00B860CD" w:rsidRPr="006C7DFA">
        <w:rPr>
          <w:rFonts w:asciiTheme="majorHAnsi" w:hAnsiTheme="majorHAnsi"/>
          <w:color w:val="333333"/>
          <w:shd w:val="clear" w:color="auto" w:fill="FFFFFF"/>
          <w:lang w:val="bs-Latn-BA"/>
        </w:rPr>
        <w:t xml:space="preserve">. godina </w:t>
      </w:r>
      <w:r w:rsidR="00C24E28" w:rsidRPr="006C7DFA">
        <w:rPr>
          <w:rFonts w:asciiTheme="majorHAnsi" w:hAnsiTheme="majorHAnsi"/>
          <w:color w:val="333333"/>
          <w:shd w:val="clear" w:color="auto" w:fill="FFFFFF"/>
          <w:lang w:val="bs-Latn-BA"/>
        </w:rPr>
        <w:t>S</w:t>
      </w:r>
      <w:r w:rsidR="00B860CD" w:rsidRPr="006C7DFA">
        <w:rPr>
          <w:rFonts w:asciiTheme="majorHAnsi" w:hAnsiTheme="majorHAnsi"/>
          <w:color w:val="333333"/>
          <w:shd w:val="clear" w:color="auto" w:fill="FFFFFF"/>
          <w:lang w:val="bs-Latn-BA"/>
        </w:rPr>
        <w:t>trategije razvoja T</w:t>
      </w:r>
      <w:r w:rsidR="008C04CD" w:rsidRPr="006C7DFA">
        <w:rPr>
          <w:rFonts w:asciiTheme="majorHAnsi" w:hAnsiTheme="majorHAnsi"/>
          <w:color w:val="333333"/>
          <w:shd w:val="clear" w:color="auto" w:fill="FFFFFF"/>
          <w:lang w:val="bs-Latn-BA"/>
        </w:rPr>
        <w:t>uzlanskog kantona</w:t>
      </w:r>
      <w:r w:rsidR="00B860CD" w:rsidRPr="006C7DFA">
        <w:rPr>
          <w:rFonts w:asciiTheme="majorHAnsi" w:hAnsiTheme="majorHAnsi"/>
          <w:color w:val="333333"/>
          <w:shd w:val="clear" w:color="auto" w:fill="FFFFFF"/>
          <w:lang w:val="bs-Latn-BA"/>
        </w:rPr>
        <w:t xml:space="preserve"> za period 2016</w:t>
      </w:r>
      <w:r w:rsidR="008C04CD" w:rsidRPr="006C7DFA">
        <w:rPr>
          <w:rFonts w:asciiTheme="majorHAnsi" w:hAnsiTheme="majorHAnsi"/>
          <w:color w:val="333333"/>
          <w:shd w:val="clear" w:color="auto" w:fill="FFFFFF"/>
          <w:lang w:val="bs-Latn-BA"/>
        </w:rPr>
        <w:t>.</w:t>
      </w:r>
      <w:r w:rsidR="00B860CD" w:rsidRPr="006C7DFA">
        <w:rPr>
          <w:rFonts w:asciiTheme="majorHAnsi" w:hAnsiTheme="majorHAnsi"/>
          <w:color w:val="333333"/>
          <w:shd w:val="clear" w:color="auto" w:fill="FFFFFF"/>
          <w:lang w:val="bs-Latn-BA"/>
        </w:rPr>
        <w:t>-2020. godina kroz predlaganje mjera (projekata).</w:t>
      </w:r>
    </w:p>
    <w:p w:rsidR="00A76C49" w:rsidRPr="006C7DFA" w:rsidRDefault="00A76C49" w:rsidP="00A76C49">
      <w:pPr>
        <w:spacing w:after="120" w:line="276" w:lineRule="auto"/>
        <w:jc w:val="both"/>
        <w:rPr>
          <w:rFonts w:asciiTheme="majorHAnsi" w:hAnsiTheme="majorHAnsi"/>
          <w:lang w:val="bs-Latn-BA"/>
        </w:rPr>
      </w:pPr>
      <w:r w:rsidRPr="006C7DFA">
        <w:rPr>
          <w:rFonts w:asciiTheme="majorHAnsi" w:hAnsiTheme="majorHAnsi"/>
          <w:lang w:val="bs-Latn-BA"/>
        </w:rPr>
        <w:t xml:space="preserve">Obzirom da je Vlada Tuzlanskog kantona na sjednici održanoj 13. jula 2018. godine Odlukom broj: 02/1-14-18380/18 usvojila Dokument okvirng Budžeta Tuzlanskog kantona  za  period 2019.-2021. godina (DOB), pomenuti dokument je predstavljao i svojevrsnu bazu za planiranje aktivnosti u okviru Operativnog/Akcionog plana implementacije Strategije. DOB sadrži makroekonomske projekcije i prognoze budžetskih sredstava i izdataka za naredne tri godine, i na njemu je zasnovana priprema i izrada godišnjih budžeta. Glavni cilj DOB-a, kao ključnog finansijsko-planskog dokumenta, jeste osigurati povezanost između prioritetnih politika Vlade Tuzlanskog kantona i načina na koje ona vrši raspodjelu budžetskih sredstava, kao i da doprinese implementaciji strateškog planiranja prioriteta i ciljeva Vlade  Tuzlanskog kantona.  Na  osnovu  navedenog  DOB  predstavlja  ključni  rezultat srednjoročnog procesa planiranja i izrade godišnjih budžeta, što predstavlja osnovu za izradu godišnjih planova i programa rada. </w:t>
      </w:r>
    </w:p>
    <w:p w:rsidR="00A76C49" w:rsidRPr="006C7DFA" w:rsidRDefault="00A76C49" w:rsidP="00A76C49">
      <w:pPr>
        <w:spacing w:after="120" w:line="276" w:lineRule="auto"/>
        <w:jc w:val="both"/>
        <w:rPr>
          <w:rFonts w:asciiTheme="majorHAnsi" w:hAnsiTheme="majorHAnsi"/>
          <w:lang w:val="bs-Latn-BA"/>
        </w:rPr>
      </w:pPr>
      <w:r w:rsidRPr="006C7DFA">
        <w:rPr>
          <w:rFonts w:asciiTheme="majorHAnsi" w:hAnsiTheme="majorHAnsi"/>
          <w:lang w:val="bs-Latn-BA"/>
        </w:rPr>
        <w:t>Shodno navedenom, Prijedlog Operativnog/Akcionog plana je u dobroj mjeri, koliko se to u ovim okolnostima moglo postići, usklađen sa Dokumentom okvirnog budžeta, godišnjim planovima/programima rada nadležnih institucija, Programom javnih investicija Tuzlanskog kantona 2019-2021. godina te aktivnostima na implementaciji projekata iz Kataloga potencijalnih projekata javno-privatnog partnerstva Tuzlanskog kantona. Za realizaciju planiranih aktivnosti, finansijska ulaganja su usklađena sa Smjernicama ekonomske i fiskalne politike Tuzlanskog kantona za period 2019.-2021. godina i Dokumentom okvirnog budžeta Tuzlanskog kantona za period 2019.-2021. godina, odnosno sa prijedlozima (budžetskim zahtjevima) za izradu Budžeta Tuzlanskog kantona za  2019. godinu.</w:t>
      </w:r>
    </w:p>
    <w:p w:rsidR="00C33937" w:rsidRPr="006C7DFA" w:rsidRDefault="00B860CD" w:rsidP="009F7EDD">
      <w:pPr>
        <w:spacing w:after="120" w:line="276" w:lineRule="auto"/>
        <w:jc w:val="both"/>
        <w:rPr>
          <w:rFonts w:asciiTheme="majorHAnsi" w:hAnsiTheme="majorHAnsi"/>
          <w:lang w:val="bs-Latn-BA"/>
        </w:rPr>
      </w:pPr>
      <w:r w:rsidRPr="006C7DFA">
        <w:rPr>
          <w:rFonts w:asciiTheme="majorHAnsi" w:hAnsiTheme="majorHAnsi"/>
          <w:shd w:val="clear" w:color="auto" w:fill="FFFFFF"/>
          <w:lang w:val="bs-Latn-BA"/>
        </w:rPr>
        <w:t>N</w:t>
      </w:r>
      <w:r w:rsidR="00961C45" w:rsidRPr="006C7DFA">
        <w:rPr>
          <w:rFonts w:asciiTheme="majorHAnsi" w:hAnsiTheme="majorHAnsi"/>
          <w:shd w:val="clear" w:color="auto" w:fill="FFFFFF"/>
          <w:lang w:val="bs-Latn-BA"/>
        </w:rPr>
        <w:t>a osnovu prikupljenih prijedloga od strane grada/općina, kantonalnih ministarstava i institucija u njihovoj nadležnosti, u</w:t>
      </w:r>
      <w:r w:rsidR="009A3BEA" w:rsidRPr="006C7DFA">
        <w:rPr>
          <w:rFonts w:asciiTheme="majorHAnsi" w:hAnsiTheme="majorHAnsi"/>
          <w:shd w:val="clear" w:color="auto" w:fill="FFFFFF"/>
          <w:lang w:val="bs-Latn-BA"/>
        </w:rPr>
        <w:t>rađen</w:t>
      </w:r>
      <w:r w:rsidR="00961C45" w:rsidRPr="006C7DFA">
        <w:rPr>
          <w:rFonts w:asciiTheme="majorHAnsi" w:hAnsiTheme="majorHAnsi"/>
          <w:shd w:val="clear" w:color="auto" w:fill="FFFFFF"/>
          <w:lang w:val="bs-Latn-BA"/>
        </w:rPr>
        <w:t xml:space="preserve"> je</w:t>
      </w:r>
      <w:r w:rsidR="009A3BEA" w:rsidRPr="006C7DFA">
        <w:rPr>
          <w:rFonts w:asciiTheme="majorHAnsi" w:hAnsiTheme="majorHAnsi"/>
          <w:shd w:val="clear" w:color="auto" w:fill="FFFFFF"/>
          <w:lang w:val="bs-Latn-BA"/>
        </w:rPr>
        <w:t xml:space="preserve"> radni materijal </w:t>
      </w:r>
      <w:r w:rsidR="00323BB8" w:rsidRPr="006C7DFA">
        <w:rPr>
          <w:rFonts w:asciiTheme="majorHAnsi" w:hAnsiTheme="majorHAnsi"/>
          <w:shd w:val="clear" w:color="auto" w:fill="FFFFFF"/>
          <w:lang w:val="bs-Latn-BA"/>
        </w:rPr>
        <w:t>Nacrta</w:t>
      </w:r>
      <w:r w:rsidR="009A3BEA" w:rsidRPr="006C7DFA">
        <w:rPr>
          <w:rFonts w:asciiTheme="majorHAnsi" w:hAnsiTheme="majorHAnsi"/>
          <w:shd w:val="clear" w:color="auto" w:fill="FFFFFF"/>
          <w:lang w:val="bs-Latn-BA"/>
        </w:rPr>
        <w:t xml:space="preserve"> Operativnog/Akcionog plana </w:t>
      </w:r>
      <w:r w:rsidR="007B327E" w:rsidRPr="006C7DFA">
        <w:rPr>
          <w:rFonts w:asciiTheme="majorHAnsi" w:hAnsiTheme="majorHAnsi"/>
          <w:shd w:val="clear" w:color="auto" w:fill="FFFFFF"/>
          <w:lang w:val="bs-Latn-BA"/>
        </w:rPr>
        <w:t>za 201</w:t>
      </w:r>
      <w:r w:rsidR="00AB28B1" w:rsidRPr="006C7DFA">
        <w:rPr>
          <w:rFonts w:asciiTheme="majorHAnsi" w:hAnsiTheme="majorHAnsi"/>
          <w:shd w:val="clear" w:color="auto" w:fill="FFFFFF"/>
          <w:lang w:val="bs-Latn-BA"/>
        </w:rPr>
        <w:t>9</w:t>
      </w:r>
      <w:r w:rsidR="008C04CD" w:rsidRPr="006C7DFA">
        <w:rPr>
          <w:rFonts w:asciiTheme="majorHAnsi" w:hAnsiTheme="majorHAnsi"/>
          <w:shd w:val="clear" w:color="auto" w:fill="FFFFFF"/>
          <w:lang w:val="bs-Latn-BA"/>
        </w:rPr>
        <w:t>.</w:t>
      </w:r>
      <w:r w:rsidR="007B327E" w:rsidRPr="006C7DFA">
        <w:rPr>
          <w:rFonts w:asciiTheme="majorHAnsi" w:hAnsiTheme="majorHAnsi"/>
          <w:shd w:val="clear" w:color="auto" w:fill="FFFFFF"/>
          <w:lang w:val="bs-Latn-BA"/>
        </w:rPr>
        <w:t>-202</w:t>
      </w:r>
      <w:r w:rsidR="00AB28B1" w:rsidRPr="006C7DFA">
        <w:rPr>
          <w:rFonts w:asciiTheme="majorHAnsi" w:hAnsiTheme="majorHAnsi"/>
          <w:shd w:val="clear" w:color="auto" w:fill="FFFFFF"/>
          <w:lang w:val="bs-Latn-BA"/>
        </w:rPr>
        <w:t>1</w:t>
      </w:r>
      <w:r w:rsidR="008C04CD" w:rsidRPr="006C7DFA">
        <w:rPr>
          <w:rFonts w:asciiTheme="majorHAnsi" w:hAnsiTheme="majorHAnsi"/>
          <w:shd w:val="clear" w:color="auto" w:fill="FFFFFF"/>
          <w:lang w:val="bs-Latn-BA"/>
        </w:rPr>
        <w:t>.</w:t>
      </w:r>
      <w:r w:rsidR="008C04CD" w:rsidRPr="006C7DFA">
        <w:rPr>
          <w:rFonts w:asciiTheme="majorHAnsi" w:hAnsiTheme="majorHAnsi"/>
          <w:color w:val="333333"/>
          <w:shd w:val="clear" w:color="auto" w:fill="FFFFFF"/>
          <w:lang w:val="bs-Latn-BA"/>
        </w:rPr>
        <w:t xml:space="preserve"> </w:t>
      </w:r>
      <w:r w:rsidR="008C04CD" w:rsidRPr="006C7DFA">
        <w:rPr>
          <w:rFonts w:asciiTheme="majorHAnsi" w:hAnsiTheme="majorHAnsi"/>
          <w:shd w:val="clear" w:color="auto" w:fill="FFFFFF"/>
          <w:lang w:val="bs-Latn-BA"/>
        </w:rPr>
        <w:lastRenderedPageBreak/>
        <w:t>godina</w:t>
      </w:r>
      <w:r w:rsidR="007B327E" w:rsidRPr="006C7DFA">
        <w:rPr>
          <w:rFonts w:asciiTheme="majorHAnsi" w:hAnsiTheme="majorHAnsi"/>
          <w:shd w:val="clear" w:color="auto" w:fill="FFFFFF"/>
          <w:lang w:val="bs-Latn-BA"/>
        </w:rPr>
        <w:t xml:space="preserve"> </w:t>
      </w:r>
      <w:r w:rsidR="009A3BEA" w:rsidRPr="006C7DFA">
        <w:rPr>
          <w:rFonts w:asciiTheme="majorHAnsi" w:hAnsiTheme="majorHAnsi"/>
          <w:shd w:val="clear" w:color="auto" w:fill="FFFFFF"/>
          <w:lang w:val="bs-Latn-BA"/>
        </w:rPr>
        <w:t>sa finansijskim okvirom</w:t>
      </w:r>
      <w:r w:rsidR="00A76C49" w:rsidRPr="006C7DFA">
        <w:rPr>
          <w:rFonts w:asciiTheme="majorHAnsi" w:hAnsiTheme="majorHAnsi"/>
          <w:shd w:val="clear" w:color="auto" w:fill="FFFFFF"/>
          <w:lang w:val="bs-Latn-BA"/>
        </w:rPr>
        <w:t>. Pomenuti dokument</w:t>
      </w:r>
      <w:r w:rsidR="00961C45" w:rsidRPr="006C7DFA">
        <w:rPr>
          <w:rFonts w:asciiTheme="majorHAnsi" w:hAnsiTheme="majorHAnsi"/>
          <w:shd w:val="clear" w:color="auto" w:fill="FFFFFF"/>
          <w:lang w:val="bs-Latn-BA"/>
        </w:rPr>
        <w:t xml:space="preserve"> je </w:t>
      </w:r>
      <w:r w:rsidR="009A3BEA" w:rsidRPr="006C7DFA">
        <w:rPr>
          <w:rFonts w:asciiTheme="majorHAnsi" w:hAnsiTheme="majorHAnsi"/>
          <w:shd w:val="clear" w:color="auto" w:fill="FFFFFF"/>
          <w:lang w:val="bs-Latn-BA"/>
        </w:rPr>
        <w:t xml:space="preserve">Ministarstvo </w:t>
      </w:r>
      <w:r w:rsidR="00AB28B1" w:rsidRPr="006C7DFA">
        <w:rPr>
          <w:rFonts w:asciiTheme="majorHAnsi" w:hAnsiTheme="majorHAnsi"/>
          <w:shd w:val="clear" w:color="auto" w:fill="FFFFFF"/>
          <w:lang w:val="bs-Latn-BA"/>
        </w:rPr>
        <w:t>privrede</w:t>
      </w:r>
      <w:r w:rsidR="009A3BEA" w:rsidRPr="006C7DFA">
        <w:rPr>
          <w:rFonts w:asciiTheme="majorHAnsi" w:hAnsiTheme="majorHAnsi"/>
          <w:shd w:val="clear" w:color="auto" w:fill="FFFFFF"/>
          <w:lang w:val="bs-Latn-BA"/>
        </w:rPr>
        <w:t xml:space="preserve">, u cilju transparentnosti i prikupljanja dodatnih prijedloga i korekcija na isti, </w:t>
      </w:r>
      <w:r w:rsidR="00323BB8" w:rsidRPr="006C7DFA">
        <w:rPr>
          <w:rFonts w:asciiTheme="majorHAnsi" w:hAnsiTheme="majorHAnsi"/>
          <w:shd w:val="clear" w:color="auto" w:fill="FFFFFF"/>
          <w:lang w:val="bs-Latn-BA"/>
        </w:rPr>
        <w:t xml:space="preserve">dostavilo svim učesnicima u procesu njegove izrade kao i članovima KOR-a prije </w:t>
      </w:r>
      <w:r w:rsidR="009B7616" w:rsidRPr="006C7DFA">
        <w:rPr>
          <w:rFonts w:asciiTheme="majorHAnsi" w:hAnsiTheme="majorHAnsi"/>
          <w:shd w:val="clear" w:color="auto" w:fill="FFFFFF"/>
          <w:lang w:val="bs-Latn-BA"/>
        </w:rPr>
        <w:t>održavanja sastanka vezano za izradu ovog plana</w:t>
      </w:r>
      <w:r w:rsidR="009A3BEA" w:rsidRPr="006C7DFA">
        <w:rPr>
          <w:rFonts w:asciiTheme="majorHAnsi" w:hAnsiTheme="majorHAnsi"/>
          <w:shd w:val="clear" w:color="auto" w:fill="FFFFFF"/>
          <w:lang w:val="bs-Latn-BA"/>
        </w:rPr>
        <w:t>.</w:t>
      </w:r>
      <w:r w:rsidR="009F7EDD" w:rsidRPr="006C7DFA">
        <w:rPr>
          <w:rFonts w:asciiTheme="majorHAnsi" w:hAnsiTheme="majorHAnsi"/>
          <w:shd w:val="clear" w:color="auto" w:fill="FFFFFF"/>
          <w:lang w:val="bs-Latn-BA"/>
        </w:rPr>
        <w:t xml:space="preserve"> </w:t>
      </w:r>
      <w:r w:rsidR="00961C45" w:rsidRPr="006C7DFA">
        <w:rPr>
          <w:rFonts w:asciiTheme="majorHAnsi" w:hAnsiTheme="majorHAnsi"/>
          <w:shd w:val="clear" w:color="auto" w:fill="FFFFFF"/>
          <w:lang w:val="bs-Latn-BA"/>
        </w:rPr>
        <w:t xml:space="preserve">Na drugom </w:t>
      </w:r>
      <w:r w:rsidR="00A76C49" w:rsidRPr="006C7DFA">
        <w:rPr>
          <w:rFonts w:asciiTheme="majorHAnsi" w:hAnsiTheme="majorHAnsi"/>
          <w:shd w:val="clear" w:color="auto" w:fill="FFFFFF"/>
          <w:lang w:val="bs-Latn-BA"/>
        </w:rPr>
        <w:t xml:space="preserve">godišnjem </w:t>
      </w:r>
      <w:r w:rsidR="00961C45" w:rsidRPr="006C7DFA">
        <w:rPr>
          <w:rFonts w:asciiTheme="majorHAnsi" w:hAnsiTheme="majorHAnsi"/>
          <w:shd w:val="clear" w:color="auto" w:fill="FFFFFF"/>
          <w:lang w:val="bs-Latn-BA"/>
        </w:rPr>
        <w:t xml:space="preserve">sastanku </w:t>
      </w:r>
      <w:r w:rsidR="00434D56" w:rsidRPr="006C7DFA">
        <w:rPr>
          <w:rFonts w:asciiTheme="majorHAnsi" w:hAnsiTheme="majorHAnsi"/>
          <w:shd w:val="clear" w:color="auto" w:fill="FFFFFF"/>
          <w:lang w:val="bs-Latn-BA"/>
        </w:rPr>
        <w:t xml:space="preserve">KOR-a </w:t>
      </w:r>
      <w:r w:rsidR="00F711EB" w:rsidRPr="006C7DFA">
        <w:rPr>
          <w:rFonts w:asciiTheme="majorHAnsi" w:hAnsiTheme="majorHAnsi"/>
          <w:shd w:val="clear" w:color="auto" w:fill="FFFFFF"/>
          <w:lang w:val="bs-Latn-BA"/>
        </w:rPr>
        <w:t xml:space="preserve">održanom 07.11.2018. godine </w:t>
      </w:r>
      <w:r w:rsidR="00961C45" w:rsidRPr="006C7DFA">
        <w:rPr>
          <w:rFonts w:asciiTheme="majorHAnsi" w:hAnsiTheme="majorHAnsi"/>
          <w:shd w:val="clear" w:color="auto" w:fill="FFFFFF"/>
          <w:lang w:val="bs-Latn-BA"/>
        </w:rPr>
        <w:t xml:space="preserve">su prezentovani radni materijali i date preporuke i </w:t>
      </w:r>
      <w:r w:rsidR="00AD43F6" w:rsidRPr="006C7DFA">
        <w:rPr>
          <w:rFonts w:asciiTheme="majorHAnsi" w:hAnsiTheme="majorHAnsi"/>
          <w:shd w:val="clear" w:color="auto" w:fill="FFFFFF"/>
          <w:lang w:val="bs-Latn-BA"/>
        </w:rPr>
        <w:t>smjernice</w:t>
      </w:r>
      <w:r w:rsidR="00961C45" w:rsidRPr="006C7DFA">
        <w:rPr>
          <w:rFonts w:asciiTheme="majorHAnsi" w:hAnsiTheme="majorHAnsi"/>
          <w:shd w:val="clear" w:color="auto" w:fill="FFFFFF"/>
          <w:lang w:val="bs-Latn-BA"/>
        </w:rPr>
        <w:t xml:space="preserve"> za izradu </w:t>
      </w:r>
      <w:r w:rsidR="009B7616" w:rsidRPr="006C7DFA">
        <w:rPr>
          <w:rFonts w:asciiTheme="majorHAnsi" w:hAnsiTheme="majorHAnsi"/>
          <w:shd w:val="clear" w:color="auto" w:fill="FFFFFF"/>
          <w:lang w:val="bs-Latn-BA"/>
        </w:rPr>
        <w:t xml:space="preserve">prijedloga </w:t>
      </w:r>
      <w:r w:rsidR="00C33937" w:rsidRPr="006C7DFA">
        <w:rPr>
          <w:rFonts w:asciiTheme="majorHAnsi" w:hAnsiTheme="majorHAnsi"/>
          <w:shd w:val="clear" w:color="auto" w:fill="FFFFFF"/>
          <w:lang w:val="bs-Latn-BA"/>
        </w:rPr>
        <w:t>Akci</w:t>
      </w:r>
      <w:r w:rsidR="00AD43F6" w:rsidRPr="006C7DFA">
        <w:rPr>
          <w:rFonts w:asciiTheme="majorHAnsi" w:hAnsiTheme="majorHAnsi"/>
          <w:shd w:val="clear" w:color="auto" w:fill="FFFFFF"/>
          <w:lang w:val="bs-Latn-BA"/>
        </w:rPr>
        <w:t>onog</w:t>
      </w:r>
      <w:r w:rsidR="00C33937" w:rsidRPr="006C7DFA">
        <w:rPr>
          <w:rFonts w:asciiTheme="majorHAnsi" w:hAnsiTheme="majorHAnsi"/>
          <w:shd w:val="clear" w:color="auto" w:fill="FFFFFF"/>
          <w:lang w:val="bs-Latn-BA"/>
        </w:rPr>
        <w:t xml:space="preserve"> plana 201</w:t>
      </w:r>
      <w:r w:rsidR="00AB28B1" w:rsidRPr="006C7DFA">
        <w:rPr>
          <w:rFonts w:asciiTheme="majorHAnsi" w:hAnsiTheme="majorHAnsi"/>
          <w:shd w:val="clear" w:color="auto" w:fill="FFFFFF"/>
          <w:lang w:val="bs-Latn-BA"/>
        </w:rPr>
        <w:t>9</w:t>
      </w:r>
      <w:r w:rsidR="00AD43F6" w:rsidRPr="006C7DFA">
        <w:rPr>
          <w:rFonts w:asciiTheme="majorHAnsi" w:hAnsiTheme="majorHAnsi"/>
          <w:shd w:val="clear" w:color="auto" w:fill="FFFFFF"/>
          <w:lang w:val="bs-Latn-BA"/>
        </w:rPr>
        <w:t>.</w:t>
      </w:r>
      <w:r w:rsidR="00C33937" w:rsidRPr="006C7DFA">
        <w:rPr>
          <w:rFonts w:asciiTheme="majorHAnsi" w:hAnsiTheme="majorHAnsi"/>
          <w:shd w:val="clear" w:color="auto" w:fill="FFFFFF"/>
          <w:lang w:val="bs-Latn-BA"/>
        </w:rPr>
        <w:t>-202</w:t>
      </w:r>
      <w:r w:rsidR="00AB28B1" w:rsidRPr="006C7DFA">
        <w:rPr>
          <w:rFonts w:asciiTheme="majorHAnsi" w:hAnsiTheme="majorHAnsi"/>
          <w:shd w:val="clear" w:color="auto" w:fill="FFFFFF"/>
          <w:lang w:val="bs-Latn-BA"/>
        </w:rPr>
        <w:t>1</w:t>
      </w:r>
      <w:r w:rsidR="00AD43F6" w:rsidRPr="006C7DFA">
        <w:rPr>
          <w:rFonts w:asciiTheme="majorHAnsi" w:hAnsiTheme="majorHAnsi"/>
          <w:shd w:val="clear" w:color="auto" w:fill="FFFFFF"/>
          <w:lang w:val="bs-Latn-BA"/>
        </w:rPr>
        <w:t xml:space="preserve">. </w:t>
      </w:r>
      <w:r w:rsidR="009B7616" w:rsidRPr="006C7DFA">
        <w:rPr>
          <w:rFonts w:asciiTheme="majorHAnsi" w:hAnsiTheme="majorHAnsi"/>
          <w:shd w:val="clear" w:color="auto" w:fill="FFFFFF"/>
          <w:lang w:val="bs-Latn-BA"/>
        </w:rPr>
        <w:t>g</w:t>
      </w:r>
      <w:r w:rsidR="00AD43F6" w:rsidRPr="006C7DFA">
        <w:rPr>
          <w:rFonts w:asciiTheme="majorHAnsi" w:hAnsiTheme="majorHAnsi"/>
          <w:shd w:val="clear" w:color="auto" w:fill="FFFFFF"/>
          <w:lang w:val="bs-Latn-BA"/>
        </w:rPr>
        <w:t>odina</w:t>
      </w:r>
      <w:r w:rsidR="009B7616" w:rsidRPr="006C7DFA">
        <w:rPr>
          <w:rFonts w:asciiTheme="majorHAnsi" w:hAnsiTheme="majorHAnsi"/>
          <w:shd w:val="clear" w:color="auto" w:fill="FFFFFF"/>
          <w:lang w:val="bs-Latn-BA"/>
        </w:rPr>
        <w:t>.</w:t>
      </w:r>
      <w:r w:rsidR="00434D56" w:rsidRPr="006C7DFA">
        <w:rPr>
          <w:rFonts w:asciiTheme="majorHAnsi" w:hAnsiTheme="majorHAnsi"/>
          <w:shd w:val="clear" w:color="auto" w:fill="FFFFFF"/>
          <w:lang w:val="bs-Latn-BA"/>
        </w:rPr>
        <w:t xml:space="preserve"> </w:t>
      </w:r>
      <w:r w:rsidR="009B7616" w:rsidRPr="006C7DFA">
        <w:rPr>
          <w:rFonts w:asciiTheme="majorHAnsi" w:hAnsiTheme="majorHAnsi"/>
          <w:shd w:val="clear" w:color="auto" w:fill="FFFFFF"/>
          <w:lang w:val="bs-Latn-BA"/>
        </w:rPr>
        <w:t xml:space="preserve">Nakon toga </w:t>
      </w:r>
      <w:r w:rsidR="00D61036" w:rsidRPr="006C7DFA">
        <w:rPr>
          <w:rFonts w:asciiTheme="majorHAnsi" w:hAnsiTheme="majorHAnsi"/>
          <w:shd w:val="clear" w:color="auto" w:fill="FFFFFF"/>
          <w:lang w:val="bs-Latn-BA"/>
        </w:rPr>
        <w:t xml:space="preserve">sa resornim ministarstvima </w:t>
      </w:r>
      <w:r w:rsidR="009B7616" w:rsidRPr="006C7DFA">
        <w:rPr>
          <w:rFonts w:asciiTheme="majorHAnsi" w:hAnsiTheme="majorHAnsi"/>
          <w:shd w:val="clear" w:color="auto" w:fill="FFFFFF"/>
          <w:lang w:val="bs-Latn-BA"/>
        </w:rPr>
        <w:t xml:space="preserve">izvršena su dodatna usaglašavanja </w:t>
      </w:r>
      <w:r w:rsidR="00D61036" w:rsidRPr="006C7DFA">
        <w:rPr>
          <w:rFonts w:asciiTheme="majorHAnsi" w:hAnsiTheme="majorHAnsi"/>
          <w:shd w:val="clear" w:color="auto" w:fill="FFFFFF"/>
          <w:lang w:val="bs-Latn-BA"/>
        </w:rPr>
        <w:t>prijedloga projekata sa godišnjim programima rada i njihovim finansijskim okvirom</w:t>
      </w:r>
      <w:r w:rsidR="00AD43F6" w:rsidRPr="006C7DFA">
        <w:rPr>
          <w:rFonts w:asciiTheme="majorHAnsi" w:hAnsiTheme="majorHAnsi"/>
          <w:shd w:val="clear" w:color="auto" w:fill="FFFFFF"/>
          <w:lang w:val="bs-Latn-BA"/>
        </w:rPr>
        <w:t>,</w:t>
      </w:r>
      <w:r w:rsidR="00434D56" w:rsidRPr="006C7DFA">
        <w:rPr>
          <w:rFonts w:asciiTheme="majorHAnsi" w:hAnsiTheme="majorHAnsi"/>
          <w:shd w:val="clear" w:color="auto" w:fill="FFFFFF"/>
          <w:lang w:val="bs-Latn-BA"/>
        </w:rPr>
        <w:t xml:space="preserve"> te kao </w:t>
      </w:r>
      <w:r w:rsidR="00860BFC" w:rsidRPr="006C7DFA">
        <w:rPr>
          <w:rFonts w:asciiTheme="majorHAnsi" w:hAnsiTheme="majorHAnsi"/>
          <w:shd w:val="clear" w:color="auto" w:fill="FFFFFF"/>
          <w:lang w:val="bs-Latn-BA"/>
        </w:rPr>
        <w:t>prijedlog ovog dokumenta</w:t>
      </w:r>
      <w:r w:rsidR="00434D56" w:rsidRPr="006C7DFA">
        <w:rPr>
          <w:rFonts w:asciiTheme="majorHAnsi" w:hAnsiTheme="majorHAnsi"/>
          <w:shd w:val="clear" w:color="auto" w:fill="FFFFFF"/>
          <w:lang w:val="bs-Latn-BA"/>
        </w:rPr>
        <w:t xml:space="preserve"> </w:t>
      </w:r>
      <w:r w:rsidR="00D61036" w:rsidRPr="006C7DFA">
        <w:rPr>
          <w:rFonts w:asciiTheme="majorHAnsi" w:hAnsiTheme="majorHAnsi"/>
          <w:shd w:val="clear" w:color="auto" w:fill="FFFFFF"/>
          <w:lang w:val="bs-Latn-BA"/>
        </w:rPr>
        <w:t xml:space="preserve">ponovno </w:t>
      </w:r>
      <w:r w:rsidR="00860BFC" w:rsidRPr="006C7DFA">
        <w:rPr>
          <w:rFonts w:asciiTheme="majorHAnsi" w:hAnsiTheme="majorHAnsi"/>
          <w:shd w:val="clear" w:color="auto" w:fill="FFFFFF"/>
          <w:lang w:val="bs-Latn-BA"/>
        </w:rPr>
        <w:t>proslijeđen</w:t>
      </w:r>
      <w:r w:rsidR="00D61036" w:rsidRPr="006C7DFA">
        <w:rPr>
          <w:rFonts w:asciiTheme="majorHAnsi" w:hAnsiTheme="majorHAnsi"/>
          <w:shd w:val="clear" w:color="auto" w:fill="FFFFFF"/>
          <w:lang w:val="bs-Latn-BA"/>
        </w:rPr>
        <w:t xml:space="preserve"> na uvid i eventualne korekcije/dopune svim učesnicima u ovom procesu</w:t>
      </w:r>
      <w:r w:rsidR="00860BFC" w:rsidRPr="006C7DFA">
        <w:rPr>
          <w:rFonts w:asciiTheme="majorHAnsi" w:hAnsiTheme="majorHAnsi"/>
          <w:shd w:val="clear" w:color="auto" w:fill="FFFFFF"/>
          <w:lang w:val="bs-Latn-BA"/>
        </w:rPr>
        <w:t xml:space="preserve"> </w:t>
      </w:r>
      <w:r w:rsidR="00D61036" w:rsidRPr="006C7DFA">
        <w:rPr>
          <w:rFonts w:asciiTheme="majorHAnsi" w:hAnsiTheme="majorHAnsi"/>
          <w:shd w:val="clear" w:color="auto" w:fill="FFFFFF"/>
          <w:lang w:val="bs-Latn-BA"/>
        </w:rPr>
        <w:t>kao i</w:t>
      </w:r>
      <w:r w:rsidR="00434D56" w:rsidRPr="006C7DFA">
        <w:rPr>
          <w:rFonts w:asciiTheme="majorHAnsi" w:hAnsiTheme="majorHAnsi"/>
          <w:shd w:val="clear" w:color="auto" w:fill="FFFFFF"/>
          <w:lang w:val="bs-Latn-BA"/>
        </w:rPr>
        <w:t xml:space="preserve"> Vijeć</w:t>
      </w:r>
      <w:r w:rsidR="00860BFC" w:rsidRPr="006C7DFA">
        <w:rPr>
          <w:rFonts w:asciiTheme="majorHAnsi" w:hAnsiTheme="majorHAnsi"/>
          <w:shd w:val="clear" w:color="auto" w:fill="FFFFFF"/>
          <w:lang w:val="bs-Latn-BA"/>
        </w:rPr>
        <w:t>u</w:t>
      </w:r>
      <w:r w:rsidR="00434D56" w:rsidRPr="006C7DFA">
        <w:rPr>
          <w:rFonts w:asciiTheme="majorHAnsi" w:hAnsiTheme="majorHAnsi"/>
          <w:shd w:val="clear" w:color="auto" w:fill="FFFFFF"/>
          <w:lang w:val="bs-Latn-BA"/>
        </w:rPr>
        <w:t xml:space="preserve"> za razvojno planiranje i upravljanje razvojem Tuzlanskog kantona</w:t>
      </w:r>
      <w:r w:rsidR="00860BFC" w:rsidRPr="006C7DFA">
        <w:rPr>
          <w:rFonts w:asciiTheme="majorHAnsi" w:hAnsiTheme="majorHAnsi"/>
          <w:shd w:val="clear" w:color="auto" w:fill="FFFFFF"/>
          <w:lang w:val="bs-Latn-BA"/>
        </w:rPr>
        <w:t>, a zatim</w:t>
      </w:r>
      <w:r w:rsidR="00C33937" w:rsidRPr="006C7DFA">
        <w:rPr>
          <w:rFonts w:asciiTheme="majorHAnsi" w:hAnsiTheme="majorHAnsi"/>
          <w:lang w:val="bs-Latn-BA"/>
        </w:rPr>
        <w:t xml:space="preserve"> </w:t>
      </w:r>
      <w:r w:rsidR="0067384D" w:rsidRPr="006C7DFA">
        <w:rPr>
          <w:rFonts w:asciiTheme="majorHAnsi" w:hAnsiTheme="majorHAnsi"/>
          <w:lang w:val="bs-Latn-BA"/>
        </w:rPr>
        <w:t xml:space="preserve">je </w:t>
      </w:r>
      <w:r w:rsidR="00C33937" w:rsidRPr="006C7DFA">
        <w:rPr>
          <w:rFonts w:asciiTheme="majorHAnsi" w:hAnsiTheme="majorHAnsi"/>
          <w:lang w:val="bs-Latn-BA"/>
        </w:rPr>
        <w:t>upućen na sjednicu Vlade Tuzlanskog kantona u cilju nj</w:t>
      </w:r>
      <w:r w:rsidR="00860BFC" w:rsidRPr="006C7DFA">
        <w:rPr>
          <w:rFonts w:asciiTheme="majorHAnsi" w:hAnsiTheme="majorHAnsi"/>
          <w:lang w:val="bs-Latn-BA"/>
        </w:rPr>
        <w:t>eg</w:t>
      </w:r>
      <w:r w:rsidR="00C33937" w:rsidRPr="006C7DFA">
        <w:rPr>
          <w:rFonts w:asciiTheme="majorHAnsi" w:hAnsiTheme="majorHAnsi"/>
          <w:lang w:val="bs-Latn-BA"/>
        </w:rPr>
        <w:t>ovog usvajanja.</w:t>
      </w:r>
    </w:p>
    <w:p w:rsidR="0085110A" w:rsidRPr="006C7DFA" w:rsidRDefault="009A3BEA" w:rsidP="009F7EDD">
      <w:pPr>
        <w:spacing w:line="276" w:lineRule="auto"/>
        <w:jc w:val="both"/>
        <w:rPr>
          <w:rFonts w:asciiTheme="majorHAnsi" w:hAnsiTheme="majorHAnsi" w:cs="Arial"/>
          <w:lang w:val="bs-Latn-BA"/>
        </w:rPr>
      </w:pPr>
      <w:r w:rsidRPr="006C7DFA">
        <w:rPr>
          <w:rFonts w:asciiTheme="majorHAnsi" w:hAnsiTheme="majorHAnsi"/>
          <w:lang w:val="bs-Latn-BA"/>
        </w:rPr>
        <w:t>Podršku Kantonalnom odboru za razvoj kao i Ministarstvu</w:t>
      </w:r>
      <w:r w:rsidR="00AB28B1" w:rsidRPr="006C7DFA">
        <w:rPr>
          <w:rFonts w:asciiTheme="majorHAnsi" w:hAnsiTheme="majorHAnsi"/>
          <w:lang w:val="bs-Latn-BA"/>
        </w:rPr>
        <w:t xml:space="preserve"> privrede</w:t>
      </w:r>
      <w:r w:rsidR="001277C8" w:rsidRPr="006C7DFA">
        <w:rPr>
          <w:rFonts w:asciiTheme="majorHAnsi" w:hAnsiTheme="majorHAnsi"/>
          <w:lang w:val="bs-Latn-BA"/>
        </w:rPr>
        <w:t xml:space="preserve"> </w:t>
      </w:r>
      <w:r w:rsidRPr="006C7DFA">
        <w:rPr>
          <w:rFonts w:asciiTheme="majorHAnsi" w:hAnsiTheme="majorHAnsi"/>
          <w:lang w:val="bs-Latn-BA"/>
        </w:rPr>
        <w:t>Tuzlanskog kantona u ovom procesu su pružili predstavnici Projekta integriranog lokalnog razvoja (ILDP), zajedničk</w:t>
      </w:r>
      <w:r w:rsidR="001277C8" w:rsidRPr="006C7DFA">
        <w:rPr>
          <w:rFonts w:asciiTheme="majorHAnsi" w:hAnsiTheme="majorHAnsi"/>
          <w:lang w:val="bs-Latn-BA"/>
        </w:rPr>
        <w:t>og projekta</w:t>
      </w:r>
      <w:r w:rsidRPr="006C7DFA">
        <w:rPr>
          <w:rFonts w:asciiTheme="majorHAnsi" w:hAnsiTheme="majorHAnsi"/>
          <w:lang w:val="bs-Latn-BA"/>
        </w:rPr>
        <w:t xml:space="preserve"> Vlade Švicarske i Razvojnog programa Ujedinjenih nacija (UNDP) u BiH</w:t>
      </w:r>
      <w:r w:rsidR="00860BFC" w:rsidRPr="006C7DFA">
        <w:rPr>
          <w:rFonts w:asciiTheme="majorHAnsi" w:hAnsiTheme="majorHAnsi"/>
          <w:lang w:val="bs-Latn-BA"/>
        </w:rPr>
        <w:t>.</w:t>
      </w:r>
      <w:r w:rsidRPr="006C7DFA">
        <w:rPr>
          <w:rFonts w:asciiTheme="majorHAnsi" w:hAnsiTheme="majorHAnsi"/>
          <w:lang w:val="bs-Latn-BA"/>
        </w:rPr>
        <w:t xml:space="preserve"> </w:t>
      </w:r>
      <w:r w:rsidR="00860BFC" w:rsidRPr="006C7DFA">
        <w:rPr>
          <w:rFonts w:asciiTheme="majorHAnsi" w:hAnsiTheme="majorHAnsi"/>
          <w:lang w:val="bs-Latn-BA"/>
        </w:rPr>
        <w:t>Ova podrška se ogleda u pripremi inicijalnih prijedloga sadržaja, formata i elemenata izvještaja o razvoju kantona u FBiH za 2017. godinu i akcionog plana implementacije strategija razvoja kantona za period 201</w:t>
      </w:r>
      <w:r w:rsidR="00AB28B1" w:rsidRPr="006C7DFA">
        <w:rPr>
          <w:rFonts w:asciiTheme="majorHAnsi" w:hAnsiTheme="majorHAnsi"/>
          <w:lang w:val="bs-Latn-BA"/>
        </w:rPr>
        <w:t>9</w:t>
      </w:r>
      <w:r w:rsidR="00860BFC" w:rsidRPr="006C7DFA">
        <w:rPr>
          <w:rFonts w:asciiTheme="majorHAnsi" w:hAnsiTheme="majorHAnsi"/>
          <w:lang w:val="bs-Latn-BA"/>
        </w:rPr>
        <w:t>.-202</w:t>
      </w:r>
      <w:r w:rsidR="00AB28B1" w:rsidRPr="006C7DFA">
        <w:rPr>
          <w:rFonts w:asciiTheme="majorHAnsi" w:hAnsiTheme="majorHAnsi"/>
          <w:lang w:val="bs-Latn-BA"/>
        </w:rPr>
        <w:t>1</w:t>
      </w:r>
      <w:r w:rsidR="00860BFC" w:rsidRPr="006C7DFA">
        <w:rPr>
          <w:rFonts w:asciiTheme="majorHAnsi" w:hAnsiTheme="majorHAnsi"/>
          <w:lang w:val="bs-Latn-BA"/>
        </w:rPr>
        <w:t>. godina te usaglašavanju koraka njihove pripreme, kao i dodjeli konsultanta za redovnu razmjenu informacija i usaglašavanje u toku procesa izrade radnih materijala.</w:t>
      </w:r>
      <w:r w:rsidRPr="006C7DFA">
        <w:rPr>
          <w:rFonts w:asciiTheme="majorHAnsi" w:hAnsiTheme="majorHAnsi" w:cs="Arial"/>
          <w:lang w:val="bs-Latn-BA"/>
        </w:rPr>
        <w:t xml:space="preserve">    </w:t>
      </w:r>
    </w:p>
    <w:p w:rsidR="009F7EDD" w:rsidRPr="006C7DFA" w:rsidRDefault="009F7EDD" w:rsidP="009F7EDD">
      <w:pPr>
        <w:spacing w:line="276" w:lineRule="auto"/>
        <w:jc w:val="both"/>
        <w:rPr>
          <w:rFonts w:asciiTheme="majorHAnsi" w:hAnsiTheme="majorHAnsi" w:cs="Arial"/>
          <w:color w:val="333333"/>
          <w:lang w:val="bs-Latn-BA"/>
        </w:rPr>
      </w:pPr>
    </w:p>
    <w:p w:rsidR="00AB2F38" w:rsidRPr="006C7DFA" w:rsidRDefault="00AB2F38" w:rsidP="00AB2F38">
      <w:pPr>
        <w:pStyle w:val="Heading1"/>
        <w:keepLines w:val="0"/>
        <w:numPr>
          <w:ilvl w:val="0"/>
          <w:numId w:val="10"/>
        </w:numPr>
        <w:spacing w:before="240" w:after="60" w:line="360" w:lineRule="auto"/>
        <w:jc w:val="both"/>
        <w:rPr>
          <w:lang w:val="bs-Latn-BA"/>
        </w:rPr>
      </w:pPr>
      <w:bookmarkStart w:id="3" w:name="_Toc528923005"/>
      <w:r w:rsidRPr="006C7DFA">
        <w:rPr>
          <w:lang w:val="bs-Latn-BA"/>
        </w:rPr>
        <w:t>Sažetak izvještaja o prov</w:t>
      </w:r>
      <w:r w:rsidR="008D6DA4" w:rsidRPr="006C7DFA">
        <w:rPr>
          <w:lang w:val="bs-Latn-BA"/>
        </w:rPr>
        <w:t>ođenju</w:t>
      </w:r>
      <w:r w:rsidRPr="006C7DFA">
        <w:rPr>
          <w:lang w:val="bs-Latn-BA"/>
        </w:rPr>
        <w:t xml:space="preserve"> strategije za prethodnu godinu</w:t>
      </w:r>
      <w:bookmarkEnd w:id="3"/>
      <w:r w:rsidRPr="006C7DFA">
        <w:rPr>
          <w:lang w:val="bs-Latn-BA"/>
        </w:rPr>
        <w:t xml:space="preserve"> </w:t>
      </w:r>
    </w:p>
    <w:p w:rsidR="00B860CD" w:rsidRPr="006C7DFA" w:rsidRDefault="00B860CD" w:rsidP="009F7EDD">
      <w:pPr>
        <w:spacing w:after="120" w:line="276" w:lineRule="auto"/>
        <w:jc w:val="both"/>
        <w:rPr>
          <w:rFonts w:asciiTheme="majorHAnsi" w:hAnsiTheme="majorHAnsi"/>
          <w:lang w:val="bs-Latn-BA"/>
        </w:rPr>
      </w:pPr>
      <w:r w:rsidRPr="006C7DFA">
        <w:rPr>
          <w:rFonts w:asciiTheme="majorHAnsi" w:hAnsiTheme="majorHAnsi"/>
          <w:lang w:val="bs-Latn-BA"/>
        </w:rPr>
        <w:t xml:space="preserve">Ukupno planirana sredstva za realizaciju Strategije razvoja Tuzlanskog kantona </w:t>
      </w:r>
      <w:r w:rsidR="00C33937" w:rsidRPr="006C7DFA">
        <w:rPr>
          <w:rFonts w:asciiTheme="majorHAnsi" w:hAnsiTheme="majorHAnsi"/>
          <w:lang w:val="bs-Latn-BA"/>
        </w:rPr>
        <w:t>2016</w:t>
      </w:r>
      <w:r w:rsidR="00AD43F6" w:rsidRPr="006C7DFA">
        <w:rPr>
          <w:rFonts w:asciiTheme="majorHAnsi" w:hAnsiTheme="majorHAnsi"/>
          <w:lang w:val="bs-Latn-BA"/>
        </w:rPr>
        <w:t>.</w:t>
      </w:r>
      <w:r w:rsidR="00C33937" w:rsidRPr="006C7DFA">
        <w:rPr>
          <w:rFonts w:asciiTheme="majorHAnsi" w:hAnsiTheme="majorHAnsi"/>
          <w:lang w:val="bs-Latn-BA"/>
        </w:rPr>
        <w:t>-2020</w:t>
      </w:r>
      <w:r w:rsidR="00AD43F6" w:rsidRPr="006C7DFA">
        <w:rPr>
          <w:rFonts w:asciiTheme="majorHAnsi" w:hAnsiTheme="majorHAnsi"/>
          <w:lang w:val="bs-Latn-BA"/>
        </w:rPr>
        <w:t>. godina</w:t>
      </w:r>
      <w:r w:rsidR="00C33937" w:rsidRPr="006C7DFA">
        <w:rPr>
          <w:rFonts w:asciiTheme="majorHAnsi" w:hAnsiTheme="majorHAnsi"/>
          <w:lang w:val="bs-Latn-BA"/>
        </w:rPr>
        <w:t xml:space="preserve"> </w:t>
      </w:r>
      <w:r w:rsidRPr="006C7DFA">
        <w:rPr>
          <w:rFonts w:asciiTheme="majorHAnsi" w:hAnsiTheme="majorHAnsi"/>
          <w:lang w:val="bs-Latn-BA"/>
        </w:rPr>
        <w:t xml:space="preserve">su na nivou od </w:t>
      </w:r>
      <w:r w:rsidR="008207B7" w:rsidRPr="006C7DFA">
        <w:rPr>
          <w:rFonts w:asciiTheme="majorHAnsi" w:hAnsiTheme="majorHAnsi"/>
          <w:lang w:val="bs-Latn-BA"/>
        </w:rPr>
        <w:t>346.971.980 KM</w:t>
      </w:r>
      <w:r w:rsidRPr="006C7DFA">
        <w:rPr>
          <w:rFonts w:asciiTheme="majorHAnsi" w:hAnsiTheme="majorHAnsi"/>
          <w:lang w:val="bs-Latn-BA"/>
        </w:rPr>
        <w:t xml:space="preserve">, za ukupno </w:t>
      </w:r>
      <w:r w:rsidR="008207B7" w:rsidRPr="006C7DFA">
        <w:rPr>
          <w:rFonts w:asciiTheme="majorHAnsi" w:hAnsiTheme="majorHAnsi"/>
          <w:lang w:val="bs-Latn-BA"/>
        </w:rPr>
        <w:t>45</w:t>
      </w:r>
      <w:r w:rsidRPr="006C7DFA">
        <w:rPr>
          <w:rFonts w:asciiTheme="majorHAnsi" w:hAnsiTheme="majorHAnsi"/>
          <w:lang w:val="bs-Latn-BA"/>
        </w:rPr>
        <w:t xml:space="preserve"> mjera u svim sektorima. Učešće po godinama, od 2016. do 2020. godine, iznosi 16%</w:t>
      </w:r>
      <w:r w:rsidR="00AD43F6" w:rsidRPr="006C7DFA">
        <w:rPr>
          <w:rFonts w:asciiTheme="majorHAnsi" w:hAnsiTheme="majorHAnsi"/>
          <w:lang w:val="bs-Latn-BA"/>
        </w:rPr>
        <w:t xml:space="preserve"> (2016</w:t>
      </w:r>
      <w:r w:rsidR="00860BFC" w:rsidRPr="006C7DFA">
        <w:rPr>
          <w:rFonts w:asciiTheme="majorHAnsi" w:hAnsiTheme="majorHAnsi"/>
          <w:lang w:val="bs-Latn-BA"/>
        </w:rPr>
        <w:t>.</w:t>
      </w:r>
      <w:r w:rsidR="00AD43F6" w:rsidRPr="006C7DFA">
        <w:rPr>
          <w:rFonts w:asciiTheme="majorHAnsi" w:hAnsiTheme="majorHAnsi"/>
          <w:lang w:val="bs-Latn-BA"/>
        </w:rPr>
        <w:t>)</w:t>
      </w:r>
      <w:r w:rsidRPr="006C7DFA">
        <w:rPr>
          <w:rFonts w:asciiTheme="majorHAnsi" w:hAnsiTheme="majorHAnsi"/>
          <w:lang w:val="bs-Latn-BA"/>
        </w:rPr>
        <w:t>, 17%</w:t>
      </w:r>
      <w:r w:rsidR="00AD43F6" w:rsidRPr="006C7DFA">
        <w:rPr>
          <w:rFonts w:asciiTheme="majorHAnsi" w:hAnsiTheme="majorHAnsi"/>
          <w:lang w:val="bs-Latn-BA"/>
        </w:rPr>
        <w:t xml:space="preserve"> (2017</w:t>
      </w:r>
      <w:r w:rsidR="00860BFC" w:rsidRPr="006C7DFA">
        <w:rPr>
          <w:rFonts w:asciiTheme="majorHAnsi" w:hAnsiTheme="majorHAnsi"/>
          <w:lang w:val="bs-Latn-BA"/>
        </w:rPr>
        <w:t>.</w:t>
      </w:r>
      <w:r w:rsidR="00AD43F6" w:rsidRPr="006C7DFA">
        <w:rPr>
          <w:rFonts w:asciiTheme="majorHAnsi" w:hAnsiTheme="majorHAnsi"/>
          <w:lang w:val="bs-Latn-BA"/>
        </w:rPr>
        <w:t>)</w:t>
      </w:r>
      <w:r w:rsidRPr="006C7DFA">
        <w:rPr>
          <w:rFonts w:asciiTheme="majorHAnsi" w:hAnsiTheme="majorHAnsi"/>
          <w:lang w:val="bs-Latn-BA"/>
        </w:rPr>
        <w:t>, 22%</w:t>
      </w:r>
      <w:r w:rsidR="00AD43F6" w:rsidRPr="006C7DFA">
        <w:rPr>
          <w:rFonts w:asciiTheme="majorHAnsi" w:hAnsiTheme="majorHAnsi"/>
          <w:lang w:val="bs-Latn-BA"/>
        </w:rPr>
        <w:t xml:space="preserve"> (2018</w:t>
      </w:r>
      <w:r w:rsidR="00860BFC" w:rsidRPr="006C7DFA">
        <w:rPr>
          <w:rFonts w:asciiTheme="majorHAnsi" w:hAnsiTheme="majorHAnsi"/>
          <w:lang w:val="bs-Latn-BA"/>
        </w:rPr>
        <w:t>.</w:t>
      </w:r>
      <w:r w:rsidR="00AD43F6" w:rsidRPr="006C7DFA">
        <w:rPr>
          <w:rFonts w:asciiTheme="majorHAnsi" w:hAnsiTheme="majorHAnsi"/>
          <w:lang w:val="bs-Latn-BA"/>
        </w:rPr>
        <w:t>)</w:t>
      </w:r>
      <w:r w:rsidRPr="006C7DFA">
        <w:rPr>
          <w:rFonts w:asciiTheme="majorHAnsi" w:hAnsiTheme="majorHAnsi"/>
          <w:lang w:val="bs-Latn-BA"/>
        </w:rPr>
        <w:t>, 23%</w:t>
      </w:r>
      <w:r w:rsidR="00AD43F6" w:rsidRPr="006C7DFA">
        <w:rPr>
          <w:rFonts w:asciiTheme="majorHAnsi" w:hAnsiTheme="majorHAnsi"/>
          <w:lang w:val="bs-Latn-BA"/>
        </w:rPr>
        <w:t xml:space="preserve"> (2019</w:t>
      </w:r>
      <w:r w:rsidR="00860BFC" w:rsidRPr="006C7DFA">
        <w:rPr>
          <w:rFonts w:asciiTheme="majorHAnsi" w:hAnsiTheme="majorHAnsi"/>
          <w:lang w:val="bs-Latn-BA"/>
        </w:rPr>
        <w:t>.</w:t>
      </w:r>
      <w:r w:rsidR="00AD43F6" w:rsidRPr="006C7DFA">
        <w:rPr>
          <w:rFonts w:asciiTheme="majorHAnsi" w:hAnsiTheme="majorHAnsi"/>
          <w:lang w:val="bs-Latn-BA"/>
        </w:rPr>
        <w:t>)</w:t>
      </w:r>
      <w:r w:rsidRPr="006C7DFA">
        <w:rPr>
          <w:rFonts w:asciiTheme="majorHAnsi" w:hAnsiTheme="majorHAnsi"/>
          <w:lang w:val="bs-Latn-BA"/>
        </w:rPr>
        <w:t xml:space="preserve"> i 23%</w:t>
      </w:r>
      <w:r w:rsidR="00AD43F6" w:rsidRPr="006C7DFA">
        <w:rPr>
          <w:rFonts w:asciiTheme="majorHAnsi" w:hAnsiTheme="majorHAnsi"/>
          <w:lang w:val="bs-Latn-BA"/>
        </w:rPr>
        <w:t xml:space="preserve"> (2020</w:t>
      </w:r>
      <w:r w:rsidR="00860BFC" w:rsidRPr="006C7DFA">
        <w:rPr>
          <w:rFonts w:asciiTheme="majorHAnsi" w:hAnsiTheme="majorHAnsi"/>
          <w:lang w:val="bs-Latn-BA"/>
        </w:rPr>
        <w:t>.</w:t>
      </w:r>
      <w:r w:rsidR="00AD43F6" w:rsidRPr="006C7DFA">
        <w:rPr>
          <w:rFonts w:asciiTheme="majorHAnsi" w:hAnsiTheme="majorHAnsi"/>
          <w:lang w:val="bs-Latn-BA"/>
        </w:rPr>
        <w:t>)</w:t>
      </w:r>
      <w:r w:rsidRPr="006C7DFA">
        <w:rPr>
          <w:rFonts w:asciiTheme="majorHAnsi" w:hAnsiTheme="majorHAnsi"/>
          <w:lang w:val="bs-Latn-BA"/>
        </w:rPr>
        <w:t xml:space="preserve">, respektivno. Za sve predviđene mjere poznat je izvor finansiranja sa učešćem svakog od izvora finansiranja prema slijedećoj strukturi: sredstva Tuzlanskog kantona (cca 40%), potom sredstva Vlade FBiH (cca 24%), </w:t>
      </w:r>
      <w:r w:rsidR="00AD43F6" w:rsidRPr="006C7DFA">
        <w:rPr>
          <w:rFonts w:asciiTheme="majorHAnsi" w:hAnsiTheme="majorHAnsi"/>
          <w:lang w:val="bs-Latn-BA"/>
        </w:rPr>
        <w:t xml:space="preserve">sredstva </w:t>
      </w:r>
      <w:r w:rsidRPr="006C7DFA">
        <w:rPr>
          <w:rFonts w:asciiTheme="majorHAnsi" w:hAnsiTheme="majorHAnsi"/>
          <w:lang w:val="bs-Latn-BA"/>
        </w:rPr>
        <w:t xml:space="preserve">ostalih izvora (cca 17%), </w:t>
      </w:r>
      <w:r w:rsidR="00AD43F6" w:rsidRPr="006C7DFA">
        <w:rPr>
          <w:rFonts w:asciiTheme="majorHAnsi" w:hAnsiTheme="majorHAnsi"/>
          <w:lang w:val="bs-Latn-BA"/>
        </w:rPr>
        <w:t xml:space="preserve">sredstva </w:t>
      </w:r>
      <w:r w:rsidRPr="006C7DFA">
        <w:rPr>
          <w:rFonts w:asciiTheme="majorHAnsi" w:hAnsiTheme="majorHAnsi"/>
          <w:lang w:val="bs-Latn-BA"/>
        </w:rPr>
        <w:t xml:space="preserve">općina i grada (cca 6%), </w:t>
      </w:r>
      <w:r w:rsidR="00AD43F6" w:rsidRPr="006C7DFA">
        <w:rPr>
          <w:rFonts w:asciiTheme="majorHAnsi" w:hAnsiTheme="majorHAnsi"/>
          <w:lang w:val="bs-Latn-BA"/>
        </w:rPr>
        <w:t xml:space="preserve">sredstva </w:t>
      </w:r>
      <w:r w:rsidRPr="006C7DFA">
        <w:rPr>
          <w:rFonts w:asciiTheme="majorHAnsi" w:hAnsiTheme="majorHAnsi"/>
          <w:lang w:val="bs-Latn-BA"/>
        </w:rPr>
        <w:t xml:space="preserve">korisnika sredstava (2%), te </w:t>
      </w:r>
      <w:r w:rsidR="00AD43F6" w:rsidRPr="006C7DFA">
        <w:rPr>
          <w:rFonts w:asciiTheme="majorHAnsi" w:hAnsiTheme="majorHAnsi"/>
          <w:lang w:val="bs-Latn-BA"/>
        </w:rPr>
        <w:t xml:space="preserve">sredstva </w:t>
      </w:r>
      <w:r w:rsidRPr="006C7DFA">
        <w:rPr>
          <w:rFonts w:asciiTheme="majorHAnsi" w:hAnsiTheme="majorHAnsi"/>
          <w:lang w:val="bs-Latn-BA"/>
        </w:rPr>
        <w:t xml:space="preserve">drugih izvora </w:t>
      </w:r>
      <w:r w:rsidR="00AD43F6" w:rsidRPr="006C7DFA">
        <w:rPr>
          <w:rFonts w:asciiTheme="majorHAnsi" w:hAnsiTheme="majorHAnsi"/>
          <w:lang w:val="bs-Latn-BA"/>
        </w:rPr>
        <w:t xml:space="preserve">poput </w:t>
      </w:r>
      <w:r w:rsidRPr="006C7DFA">
        <w:rPr>
          <w:rFonts w:asciiTheme="majorHAnsi" w:hAnsiTheme="majorHAnsi"/>
          <w:lang w:val="bs-Latn-BA"/>
        </w:rPr>
        <w:t>Vijeć</w:t>
      </w:r>
      <w:r w:rsidR="00AD43F6" w:rsidRPr="006C7DFA">
        <w:rPr>
          <w:rFonts w:asciiTheme="majorHAnsi" w:hAnsiTheme="majorHAnsi"/>
          <w:lang w:val="bs-Latn-BA"/>
        </w:rPr>
        <w:t>a</w:t>
      </w:r>
      <w:r w:rsidRPr="006C7DFA">
        <w:rPr>
          <w:rFonts w:asciiTheme="majorHAnsi" w:hAnsiTheme="majorHAnsi"/>
          <w:lang w:val="bs-Latn-BA"/>
        </w:rPr>
        <w:t xml:space="preserve"> ministara BiH, </w:t>
      </w:r>
      <w:r w:rsidR="00AD43F6" w:rsidRPr="006C7DFA">
        <w:rPr>
          <w:rFonts w:asciiTheme="majorHAnsi" w:hAnsiTheme="majorHAnsi"/>
          <w:lang w:val="bs-Latn-BA"/>
        </w:rPr>
        <w:t>F</w:t>
      </w:r>
      <w:r w:rsidRPr="006C7DFA">
        <w:rPr>
          <w:rFonts w:asciiTheme="majorHAnsi" w:hAnsiTheme="majorHAnsi"/>
          <w:lang w:val="bs-Latn-BA"/>
        </w:rPr>
        <w:t>ond</w:t>
      </w:r>
      <w:r w:rsidR="00AD43F6" w:rsidRPr="006C7DFA">
        <w:rPr>
          <w:rFonts w:asciiTheme="majorHAnsi" w:hAnsiTheme="majorHAnsi"/>
          <w:lang w:val="bs-Latn-BA"/>
        </w:rPr>
        <w:t>a</w:t>
      </w:r>
      <w:r w:rsidRPr="006C7DFA">
        <w:rPr>
          <w:rFonts w:asciiTheme="majorHAnsi" w:hAnsiTheme="majorHAnsi"/>
          <w:lang w:val="bs-Latn-BA"/>
        </w:rPr>
        <w:t xml:space="preserve"> za zaštitu okoliša, </w:t>
      </w:r>
      <w:r w:rsidR="00AD43F6" w:rsidRPr="006C7DFA">
        <w:rPr>
          <w:rFonts w:asciiTheme="majorHAnsi" w:hAnsiTheme="majorHAnsi"/>
          <w:lang w:val="bs-Latn-BA"/>
        </w:rPr>
        <w:t>Agencije za vode, donatori i dr.</w:t>
      </w:r>
      <w:r w:rsidRPr="006C7DFA">
        <w:rPr>
          <w:rFonts w:asciiTheme="majorHAnsi" w:hAnsiTheme="majorHAnsi"/>
          <w:lang w:val="bs-Latn-BA"/>
        </w:rPr>
        <w:t xml:space="preserve"> sa </w:t>
      </w:r>
      <w:r w:rsidR="00AD43F6" w:rsidRPr="006C7DFA">
        <w:rPr>
          <w:rFonts w:asciiTheme="majorHAnsi" w:hAnsiTheme="majorHAnsi"/>
          <w:lang w:val="bs-Latn-BA"/>
        </w:rPr>
        <w:t>(</w:t>
      </w:r>
      <w:r w:rsidRPr="006C7DFA">
        <w:rPr>
          <w:rFonts w:asciiTheme="majorHAnsi" w:hAnsiTheme="majorHAnsi"/>
          <w:lang w:val="bs-Latn-BA"/>
        </w:rPr>
        <w:t>cca 11%</w:t>
      </w:r>
      <w:r w:rsidR="00AD43F6" w:rsidRPr="006C7DFA">
        <w:rPr>
          <w:rFonts w:asciiTheme="majorHAnsi" w:hAnsiTheme="majorHAnsi"/>
          <w:lang w:val="bs-Latn-BA"/>
        </w:rPr>
        <w:t>)</w:t>
      </w:r>
      <w:r w:rsidRPr="006C7DFA">
        <w:rPr>
          <w:rFonts w:asciiTheme="majorHAnsi" w:hAnsiTheme="majorHAnsi"/>
          <w:lang w:val="bs-Latn-BA"/>
        </w:rPr>
        <w:t xml:space="preserve">. </w:t>
      </w:r>
    </w:p>
    <w:p w:rsidR="00084580" w:rsidRPr="006C7DFA" w:rsidRDefault="002A7BE2" w:rsidP="00084580">
      <w:pPr>
        <w:spacing w:after="120" w:line="276" w:lineRule="auto"/>
        <w:jc w:val="both"/>
        <w:rPr>
          <w:rFonts w:asciiTheme="majorHAnsi" w:hAnsiTheme="majorHAnsi"/>
          <w:lang w:val="bs-Latn-BA"/>
        </w:rPr>
      </w:pPr>
      <w:r w:rsidRPr="006C7DFA">
        <w:rPr>
          <w:rFonts w:asciiTheme="majorHAnsi" w:hAnsiTheme="majorHAnsi"/>
          <w:lang w:val="bs-Latn-BA"/>
        </w:rPr>
        <w:t xml:space="preserve">Da bi se postiglo povezivanje razvojnih politika na širem regionalnom nivou i povezivanje politika ministarstava sa provedbom mjera Strategije, Odjeljenje za razvoj u okviru Ministarstva </w:t>
      </w:r>
      <w:r w:rsidR="00781613" w:rsidRPr="006C7DFA">
        <w:rPr>
          <w:rFonts w:asciiTheme="majorHAnsi" w:hAnsiTheme="majorHAnsi"/>
          <w:lang w:val="bs-Latn-BA"/>
        </w:rPr>
        <w:t>privrede</w:t>
      </w:r>
      <w:r w:rsidR="00860BFC" w:rsidRPr="006C7DFA">
        <w:rPr>
          <w:rFonts w:asciiTheme="majorHAnsi" w:hAnsiTheme="majorHAnsi"/>
          <w:lang w:val="bs-Latn-BA"/>
        </w:rPr>
        <w:t xml:space="preserve"> </w:t>
      </w:r>
      <w:r w:rsidRPr="006C7DFA">
        <w:rPr>
          <w:rFonts w:asciiTheme="majorHAnsi" w:hAnsiTheme="majorHAnsi"/>
          <w:lang w:val="bs-Latn-BA"/>
        </w:rPr>
        <w:t>Tuzlanskog kantona, vrši pripremu polugodišnjeg i godišnjeg izvještaja o stanju implementacije Strategije razvoja Tuzlanskog kantona, te isti predstavlja Vladi i Skupštini Tuzlanskog kantona</w:t>
      </w:r>
      <w:r w:rsidR="00FE74BE" w:rsidRPr="006C7DFA">
        <w:rPr>
          <w:rFonts w:asciiTheme="majorHAnsi" w:hAnsiTheme="majorHAnsi"/>
          <w:lang w:val="bs-Latn-BA"/>
        </w:rPr>
        <w:t xml:space="preserve">. </w:t>
      </w:r>
      <w:r w:rsidR="00084580" w:rsidRPr="006C7DFA">
        <w:rPr>
          <w:rFonts w:asciiTheme="majorHAnsi" w:hAnsiTheme="majorHAnsi"/>
          <w:lang w:val="bs-Latn-BA"/>
        </w:rPr>
        <w:t xml:space="preserve"> </w:t>
      </w:r>
    </w:p>
    <w:p w:rsidR="000302B2" w:rsidRPr="006C7DFA" w:rsidRDefault="002A7BE2" w:rsidP="00084580">
      <w:pPr>
        <w:spacing w:after="120" w:line="276" w:lineRule="auto"/>
        <w:jc w:val="both"/>
        <w:rPr>
          <w:rFonts w:asciiTheme="majorHAnsi" w:hAnsiTheme="majorHAnsi"/>
          <w:lang w:val="bs-Latn-BA"/>
        </w:rPr>
      </w:pPr>
      <w:r w:rsidRPr="006C7DFA">
        <w:rPr>
          <w:rFonts w:asciiTheme="majorHAnsi" w:hAnsiTheme="majorHAnsi"/>
          <w:lang w:val="bs-Latn-BA"/>
        </w:rPr>
        <w:t xml:space="preserve">U izvještaju o implementaciji Operativnog/Akcionog </w:t>
      </w:r>
      <w:r w:rsidR="00191BD7" w:rsidRPr="006C7DFA">
        <w:rPr>
          <w:rFonts w:asciiTheme="majorHAnsi" w:hAnsiTheme="majorHAnsi"/>
          <w:lang w:val="bs-Latn-BA"/>
        </w:rPr>
        <w:t>plana u 2017. godin</w:t>
      </w:r>
      <w:r w:rsidR="000302B2" w:rsidRPr="006C7DFA">
        <w:rPr>
          <w:rFonts w:asciiTheme="majorHAnsi" w:hAnsiTheme="majorHAnsi"/>
          <w:lang w:val="bs-Latn-BA"/>
        </w:rPr>
        <w:t>i</w:t>
      </w:r>
      <w:r w:rsidR="00191BD7" w:rsidRPr="006C7DFA">
        <w:rPr>
          <w:rFonts w:asciiTheme="majorHAnsi" w:hAnsiTheme="majorHAnsi"/>
          <w:lang w:val="bs-Latn-BA"/>
        </w:rPr>
        <w:t xml:space="preserve"> </w:t>
      </w:r>
      <w:r w:rsidRPr="006C7DFA">
        <w:rPr>
          <w:rFonts w:asciiTheme="majorHAnsi" w:hAnsiTheme="majorHAnsi"/>
          <w:lang w:val="bs-Latn-BA"/>
        </w:rPr>
        <w:t xml:space="preserve">Strategije razvoja Tuzlanskog kantona 2016. – 2020. godina planirano je provođenje ukupno </w:t>
      </w:r>
      <w:r w:rsidR="00084580" w:rsidRPr="006C7DFA">
        <w:rPr>
          <w:rFonts w:asciiTheme="majorHAnsi" w:hAnsiTheme="majorHAnsi"/>
          <w:lang w:val="bs-Latn-BA"/>
        </w:rPr>
        <w:t xml:space="preserve">45 mjera sa 76 aktivnosti, </w:t>
      </w:r>
      <w:r w:rsidR="000302B2" w:rsidRPr="006C7DFA">
        <w:rPr>
          <w:rFonts w:asciiTheme="majorHAnsi" w:hAnsiTheme="majorHAnsi"/>
          <w:lang w:val="bs-Latn-BA"/>
        </w:rPr>
        <w:t xml:space="preserve">od čega u 18 mjera nisu planirane pojedinačne aktivnosti te ih možemo nazvati opšte ili „samostalne“. </w:t>
      </w:r>
      <w:r w:rsidR="00084580" w:rsidRPr="006C7DFA">
        <w:rPr>
          <w:rFonts w:asciiTheme="majorHAnsi" w:hAnsiTheme="majorHAnsi"/>
          <w:lang w:val="bs-Latn-BA"/>
        </w:rPr>
        <w:t>P</w:t>
      </w:r>
      <w:r w:rsidR="000302B2" w:rsidRPr="006C7DFA">
        <w:rPr>
          <w:rFonts w:asciiTheme="majorHAnsi" w:hAnsiTheme="majorHAnsi"/>
          <w:lang w:val="bs-Latn-BA"/>
        </w:rPr>
        <w:t xml:space="preserve">regled stanja implementacije mjera/aktivnosti u 2017. godini dat je po strateškim ciljevima  u </w:t>
      </w:r>
      <w:r w:rsidR="005F6D18" w:rsidRPr="006C7DFA">
        <w:rPr>
          <w:rFonts w:asciiTheme="majorHAnsi" w:hAnsiTheme="majorHAnsi"/>
          <w:lang w:val="bs-Latn-BA"/>
        </w:rPr>
        <w:t>t</w:t>
      </w:r>
      <w:r w:rsidR="000302B2" w:rsidRPr="006C7DFA">
        <w:rPr>
          <w:rFonts w:asciiTheme="majorHAnsi" w:hAnsiTheme="majorHAnsi"/>
          <w:lang w:val="bs-Latn-BA"/>
        </w:rPr>
        <w:t>abeli 2.</w:t>
      </w:r>
    </w:p>
    <w:p w:rsidR="00A76C49" w:rsidRPr="006C7DFA" w:rsidRDefault="00A76C49" w:rsidP="00084580">
      <w:pPr>
        <w:spacing w:after="120" w:line="276" w:lineRule="auto"/>
        <w:jc w:val="both"/>
        <w:rPr>
          <w:rFonts w:asciiTheme="majorHAnsi" w:hAnsiTheme="majorHAnsi"/>
          <w:lang w:val="bs-Latn-BA"/>
        </w:rPr>
      </w:pPr>
    </w:p>
    <w:p w:rsidR="00A76C49" w:rsidRPr="006C7DFA" w:rsidRDefault="00A76C49" w:rsidP="00084580">
      <w:pPr>
        <w:spacing w:after="120" w:line="276" w:lineRule="auto"/>
        <w:jc w:val="both"/>
        <w:rPr>
          <w:rFonts w:asciiTheme="majorHAnsi" w:hAnsiTheme="majorHAnsi"/>
          <w:lang w:val="bs-Latn-BA"/>
        </w:rPr>
      </w:pPr>
    </w:p>
    <w:p w:rsidR="00106A2E" w:rsidRPr="006C7DFA" w:rsidRDefault="00106A2E" w:rsidP="00106A2E">
      <w:pPr>
        <w:pStyle w:val="Caption"/>
        <w:keepNext/>
        <w:spacing w:after="0"/>
        <w:jc w:val="center"/>
        <w:rPr>
          <w:rFonts w:asciiTheme="majorHAnsi" w:hAnsiTheme="majorHAnsi"/>
          <w:sz w:val="18"/>
          <w:szCs w:val="18"/>
          <w:lang w:val="bs-Latn-BA"/>
        </w:rPr>
      </w:pPr>
      <w:bookmarkStart w:id="4" w:name="_Toc528923127"/>
      <w:r w:rsidRPr="006C7DFA">
        <w:rPr>
          <w:rFonts w:asciiTheme="majorHAnsi" w:hAnsiTheme="majorHAnsi"/>
          <w:sz w:val="18"/>
          <w:szCs w:val="18"/>
          <w:lang w:val="bs-Latn-BA"/>
        </w:rPr>
        <w:lastRenderedPageBreak/>
        <w:t xml:space="preserve">Tabela </w:t>
      </w:r>
      <w:r w:rsidR="009F0446" w:rsidRPr="006C7DFA">
        <w:rPr>
          <w:rFonts w:asciiTheme="majorHAnsi" w:hAnsiTheme="majorHAnsi"/>
          <w:sz w:val="18"/>
          <w:szCs w:val="18"/>
          <w:lang w:val="bs-Latn-BA"/>
        </w:rPr>
        <w:fldChar w:fldCharType="begin"/>
      </w:r>
      <w:r w:rsidRPr="006C7DFA">
        <w:rPr>
          <w:rFonts w:asciiTheme="majorHAnsi" w:hAnsiTheme="majorHAnsi"/>
          <w:sz w:val="18"/>
          <w:szCs w:val="18"/>
          <w:lang w:val="bs-Latn-BA"/>
        </w:rPr>
        <w:instrText xml:space="preserve"> SEQ Tabela \* ARABIC </w:instrText>
      </w:r>
      <w:r w:rsidR="009F0446" w:rsidRPr="006C7DFA">
        <w:rPr>
          <w:rFonts w:asciiTheme="majorHAnsi" w:hAnsiTheme="majorHAnsi"/>
          <w:sz w:val="18"/>
          <w:szCs w:val="18"/>
          <w:lang w:val="bs-Latn-BA"/>
        </w:rPr>
        <w:fldChar w:fldCharType="separate"/>
      </w:r>
      <w:r w:rsidR="009F7EDD" w:rsidRPr="006C7DFA">
        <w:rPr>
          <w:rFonts w:asciiTheme="majorHAnsi" w:hAnsiTheme="majorHAnsi"/>
          <w:noProof/>
          <w:sz w:val="18"/>
          <w:szCs w:val="18"/>
          <w:lang w:val="bs-Latn-BA"/>
        </w:rPr>
        <w:t>2</w:t>
      </w:r>
      <w:r w:rsidR="009F0446" w:rsidRPr="006C7DFA">
        <w:rPr>
          <w:rFonts w:asciiTheme="majorHAnsi" w:hAnsiTheme="majorHAnsi"/>
          <w:sz w:val="18"/>
          <w:szCs w:val="18"/>
          <w:lang w:val="bs-Latn-BA"/>
        </w:rPr>
        <w:fldChar w:fldCharType="end"/>
      </w:r>
      <w:r w:rsidRPr="006C7DFA">
        <w:rPr>
          <w:rFonts w:asciiTheme="majorHAnsi" w:hAnsiTheme="majorHAnsi"/>
          <w:sz w:val="18"/>
          <w:szCs w:val="18"/>
          <w:lang w:val="bs-Latn-BA"/>
        </w:rPr>
        <w:t>. Pregled implementacije mjera/aktivnosti iz Operativnog/Akcionog plana SRTK 2016.-2020.</w:t>
      </w:r>
      <w:bookmarkEnd w:id="4"/>
    </w:p>
    <w:tbl>
      <w:tblPr>
        <w:tblW w:w="10108" w:type="dxa"/>
        <w:jc w:val="center"/>
        <w:tblLook w:val="04A0"/>
      </w:tblPr>
      <w:tblGrid>
        <w:gridCol w:w="5087"/>
        <w:gridCol w:w="927"/>
        <w:gridCol w:w="1000"/>
        <w:gridCol w:w="1134"/>
        <w:gridCol w:w="1017"/>
        <w:gridCol w:w="943"/>
      </w:tblGrid>
      <w:tr w:rsidR="000302B2" w:rsidRPr="006C7DFA" w:rsidTr="00084580">
        <w:trPr>
          <w:trHeight w:val="278"/>
          <w:jc w:val="center"/>
        </w:trPr>
        <w:tc>
          <w:tcPr>
            <w:tcW w:w="5171" w:type="dxa"/>
            <w:vMerge w:val="restart"/>
            <w:tcBorders>
              <w:top w:val="single" w:sz="8" w:space="0" w:color="FFFFFF"/>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Strateški cilj</w:t>
            </w:r>
          </w:p>
        </w:tc>
        <w:tc>
          <w:tcPr>
            <w:tcW w:w="4937" w:type="dxa"/>
            <w:gridSpan w:val="5"/>
            <w:tcBorders>
              <w:top w:val="single" w:sz="8" w:space="0" w:color="FFFFFF"/>
              <w:left w:val="nil"/>
              <w:bottom w:val="single" w:sz="8" w:space="0" w:color="FFFFFF"/>
              <w:right w:val="single" w:sz="8" w:space="0" w:color="FFFFFF"/>
            </w:tcBorders>
            <w:shd w:val="clear" w:color="000000" w:fill="5B9BD5"/>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Mjere/Aktivnosti</w:t>
            </w:r>
          </w:p>
        </w:tc>
      </w:tr>
      <w:tr w:rsidR="000302B2" w:rsidRPr="006C7DFA" w:rsidTr="00084580">
        <w:trPr>
          <w:trHeight w:val="482"/>
          <w:jc w:val="center"/>
        </w:trPr>
        <w:tc>
          <w:tcPr>
            <w:tcW w:w="5171" w:type="dxa"/>
            <w:vMerge/>
            <w:tcBorders>
              <w:top w:val="single" w:sz="8" w:space="0" w:color="FFFFFF"/>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843" w:type="dxa"/>
            <w:tcBorders>
              <w:top w:val="nil"/>
              <w:left w:val="nil"/>
              <w:bottom w:val="single" w:sz="8" w:space="0" w:color="FFFFFF"/>
              <w:right w:val="single" w:sz="8" w:space="0" w:color="FFFFFF"/>
            </w:tcBorders>
            <w:shd w:val="clear" w:color="000000" w:fill="BDD6EE"/>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Završeno</w:t>
            </w:r>
          </w:p>
        </w:tc>
        <w:tc>
          <w:tcPr>
            <w:tcW w:w="1000" w:type="dxa"/>
            <w:tcBorders>
              <w:top w:val="nil"/>
              <w:left w:val="nil"/>
              <w:bottom w:val="single" w:sz="8" w:space="0" w:color="FFFFFF"/>
              <w:right w:val="single" w:sz="8" w:space="0" w:color="FFFFFF"/>
            </w:tcBorders>
            <w:shd w:val="clear" w:color="000000" w:fill="BDD6EE"/>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U toku realizacije</w:t>
            </w:r>
          </w:p>
        </w:tc>
        <w:tc>
          <w:tcPr>
            <w:tcW w:w="1134" w:type="dxa"/>
            <w:tcBorders>
              <w:top w:val="nil"/>
              <w:left w:val="nil"/>
              <w:bottom w:val="single" w:sz="8" w:space="0" w:color="FFFFFF"/>
              <w:right w:val="single" w:sz="8" w:space="0" w:color="FFFFFF"/>
            </w:tcBorders>
            <w:shd w:val="clear" w:color="000000" w:fill="BDD6EE"/>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Nije u toku realizacije</w:t>
            </w:r>
          </w:p>
        </w:tc>
        <w:tc>
          <w:tcPr>
            <w:tcW w:w="1017" w:type="dxa"/>
            <w:tcBorders>
              <w:top w:val="nil"/>
              <w:left w:val="nil"/>
              <w:bottom w:val="single" w:sz="8" w:space="0" w:color="FFFFFF"/>
              <w:right w:val="single" w:sz="8" w:space="0" w:color="FFFFFF"/>
            </w:tcBorders>
            <w:shd w:val="clear" w:color="000000" w:fill="BDD6EE"/>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Odgođeno</w:t>
            </w:r>
          </w:p>
        </w:tc>
        <w:tc>
          <w:tcPr>
            <w:tcW w:w="943" w:type="dxa"/>
            <w:tcBorders>
              <w:top w:val="nil"/>
              <w:left w:val="nil"/>
              <w:bottom w:val="single" w:sz="8" w:space="0" w:color="FFFFFF"/>
              <w:right w:val="single" w:sz="8" w:space="0" w:color="FFFFFF"/>
            </w:tcBorders>
            <w:shd w:val="clear" w:color="000000" w:fill="BDD6EE"/>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Otkazano</w:t>
            </w: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 Osigurati stabilnost i prosperitet razvoja privrede Tuzlanskog kantona (ekonomski razvoj)</w:t>
            </w:r>
          </w:p>
        </w:tc>
        <w:tc>
          <w:tcPr>
            <w:tcW w:w="8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1000"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20</w:t>
            </w:r>
          </w:p>
        </w:tc>
        <w:tc>
          <w:tcPr>
            <w:tcW w:w="1134"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2</w:t>
            </w:r>
          </w:p>
        </w:tc>
        <w:tc>
          <w:tcPr>
            <w:tcW w:w="1017"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9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r>
      <w:tr w:rsidR="000302B2" w:rsidRPr="006C7DFA" w:rsidTr="00084580">
        <w:trPr>
          <w:trHeight w:val="284"/>
          <w:jc w:val="center"/>
        </w:trPr>
        <w:tc>
          <w:tcPr>
            <w:tcW w:w="5171" w:type="dxa"/>
            <w:tcBorders>
              <w:top w:val="nil"/>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- 13 mjera (9 samostalnih) i 13 aktivnosti:</w:t>
            </w:r>
          </w:p>
        </w:tc>
        <w:tc>
          <w:tcPr>
            <w:tcW w:w="8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00"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134"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17"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9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84580">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 xml:space="preserve">2: Uspostaviti efikasne sisteme upravljanja razvojem ljudskih potencijala i tržišta rada, u cilju povećanja zapošljavanja </w:t>
            </w:r>
          </w:p>
        </w:tc>
        <w:tc>
          <w:tcPr>
            <w:tcW w:w="843"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1000"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15</w:t>
            </w:r>
          </w:p>
        </w:tc>
        <w:tc>
          <w:tcPr>
            <w:tcW w:w="1134"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1017"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2</w:t>
            </w:r>
          </w:p>
        </w:tc>
        <w:tc>
          <w:tcPr>
            <w:tcW w:w="943"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r>
      <w:tr w:rsidR="000302B2" w:rsidRPr="006C7DFA" w:rsidTr="00084580">
        <w:trPr>
          <w:trHeight w:val="284"/>
          <w:jc w:val="center"/>
        </w:trPr>
        <w:tc>
          <w:tcPr>
            <w:tcW w:w="5171" w:type="dxa"/>
            <w:tcBorders>
              <w:top w:val="nil"/>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- 5 mjera i 17 aktivnosti:</w:t>
            </w:r>
          </w:p>
        </w:tc>
        <w:tc>
          <w:tcPr>
            <w:tcW w:w="8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00"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134"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17"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9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3: Poboljšati kvalitetu života, sigurnost i socijalnu uključenost građana i učiniti politiku socijalne zaštite pravičnom i djelotvornom</w:t>
            </w:r>
          </w:p>
        </w:tc>
        <w:tc>
          <w:tcPr>
            <w:tcW w:w="8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1000"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14</w:t>
            </w:r>
          </w:p>
        </w:tc>
        <w:tc>
          <w:tcPr>
            <w:tcW w:w="1134"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2</w:t>
            </w:r>
          </w:p>
        </w:tc>
        <w:tc>
          <w:tcPr>
            <w:tcW w:w="1017"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9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r>
      <w:tr w:rsidR="000302B2" w:rsidRPr="006C7DFA" w:rsidTr="00084580">
        <w:trPr>
          <w:trHeight w:val="284"/>
          <w:jc w:val="center"/>
        </w:trPr>
        <w:tc>
          <w:tcPr>
            <w:tcW w:w="5171" w:type="dxa"/>
            <w:tcBorders>
              <w:top w:val="nil"/>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-7 mjera i 16 aktivnosti:</w:t>
            </w:r>
          </w:p>
        </w:tc>
        <w:tc>
          <w:tcPr>
            <w:tcW w:w="8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00"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134"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17"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9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4: Modernizovati i učiniti ekonomski održivom javnu infrastrukturu, prvenstveno saobraćajnu, vodnu i energetsku</w:t>
            </w:r>
          </w:p>
        </w:tc>
        <w:tc>
          <w:tcPr>
            <w:tcW w:w="843"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w:t>
            </w:r>
          </w:p>
        </w:tc>
        <w:tc>
          <w:tcPr>
            <w:tcW w:w="1000"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10</w:t>
            </w:r>
          </w:p>
        </w:tc>
        <w:tc>
          <w:tcPr>
            <w:tcW w:w="1134"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3</w:t>
            </w:r>
          </w:p>
        </w:tc>
        <w:tc>
          <w:tcPr>
            <w:tcW w:w="1017"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c>
          <w:tcPr>
            <w:tcW w:w="943" w:type="dxa"/>
            <w:vMerge w:val="restart"/>
            <w:tcBorders>
              <w:top w:val="nil"/>
              <w:left w:val="single" w:sz="8" w:space="0" w:color="FFFFFF"/>
              <w:bottom w:val="single" w:sz="8" w:space="0" w:color="FFFFFF"/>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r>
      <w:tr w:rsidR="000302B2" w:rsidRPr="006C7DFA" w:rsidTr="00084580">
        <w:trPr>
          <w:trHeight w:val="284"/>
          <w:jc w:val="center"/>
        </w:trPr>
        <w:tc>
          <w:tcPr>
            <w:tcW w:w="5171" w:type="dxa"/>
            <w:tcBorders>
              <w:top w:val="nil"/>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- 9 mjera (6 samostalnih) i 8 aktivnosti</w:t>
            </w:r>
          </w:p>
        </w:tc>
        <w:tc>
          <w:tcPr>
            <w:tcW w:w="8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00"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134"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17"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9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5: Uspostaviti funkcionalan sistem zaštite okoliša i održivog upravljanja prirodnim resursima</w:t>
            </w:r>
          </w:p>
        </w:tc>
        <w:tc>
          <w:tcPr>
            <w:tcW w:w="8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w:t>
            </w:r>
          </w:p>
        </w:tc>
        <w:tc>
          <w:tcPr>
            <w:tcW w:w="1000"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12</w:t>
            </w:r>
          </w:p>
        </w:tc>
        <w:tc>
          <w:tcPr>
            <w:tcW w:w="1134"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11</w:t>
            </w:r>
          </w:p>
        </w:tc>
        <w:tc>
          <w:tcPr>
            <w:tcW w:w="1017"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1</w:t>
            </w:r>
          </w:p>
        </w:tc>
        <w:tc>
          <w:tcPr>
            <w:tcW w:w="943" w:type="dxa"/>
            <w:vMerge w:val="restart"/>
            <w:tcBorders>
              <w:top w:val="nil"/>
              <w:left w:val="single" w:sz="8" w:space="0" w:color="FFFFFF"/>
              <w:bottom w:val="single" w:sz="8" w:space="0" w:color="FFFFFF"/>
              <w:right w:val="single" w:sz="8" w:space="0" w:color="FFFFFF"/>
            </w:tcBorders>
            <w:shd w:val="clear" w:color="000000" w:fill="DEEAF6"/>
            <w:noWrap/>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0</w:t>
            </w:r>
          </w:p>
        </w:tc>
      </w:tr>
      <w:tr w:rsidR="000302B2" w:rsidRPr="006C7DFA" w:rsidTr="00084580">
        <w:trPr>
          <w:trHeight w:val="284"/>
          <w:jc w:val="center"/>
        </w:trPr>
        <w:tc>
          <w:tcPr>
            <w:tcW w:w="5171" w:type="dxa"/>
            <w:tcBorders>
              <w:top w:val="nil"/>
              <w:left w:val="single" w:sz="8" w:space="0" w:color="FFFFFF"/>
              <w:bottom w:val="single" w:sz="8" w:space="0" w:color="FFFFFF"/>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color w:val="000000"/>
                <w:sz w:val="18"/>
                <w:szCs w:val="18"/>
                <w:lang w:val="bs-Latn-BA"/>
              </w:rPr>
            </w:pPr>
            <w:r w:rsidRPr="006C7DFA">
              <w:rPr>
                <w:rFonts w:asciiTheme="majorHAnsi" w:eastAsia="Times New Roman" w:hAnsiTheme="majorHAnsi"/>
                <w:color w:val="000000"/>
                <w:sz w:val="18"/>
                <w:szCs w:val="18"/>
                <w:lang w:val="bs-Latn-BA"/>
              </w:rPr>
              <w:t>- 11 mjera (3 samostalne) i 22 aktivnosti</w:t>
            </w:r>
          </w:p>
        </w:tc>
        <w:tc>
          <w:tcPr>
            <w:tcW w:w="8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00"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134"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1017"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c>
          <w:tcPr>
            <w:tcW w:w="943" w:type="dxa"/>
            <w:vMerge/>
            <w:tcBorders>
              <w:top w:val="nil"/>
              <w:left w:val="single" w:sz="8" w:space="0" w:color="FFFFFF"/>
              <w:bottom w:val="single" w:sz="8" w:space="0" w:color="FFFFFF"/>
              <w:right w:val="single" w:sz="8" w:space="0" w:color="FFFFFF"/>
            </w:tcBorders>
            <w:vAlign w:val="center"/>
            <w:hideMark/>
          </w:tcPr>
          <w:p w:rsidR="000302B2" w:rsidRPr="006C7DFA" w:rsidRDefault="000302B2" w:rsidP="000302B2">
            <w:pPr>
              <w:rPr>
                <w:rFonts w:asciiTheme="majorHAnsi" w:eastAsia="Times New Roman" w:hAnsiTheme="majorHAnsi"/>
                <w:color w:val="000000"/>
                <w:sz w:val="18"/>
                <w:szCs w:val="18"/>
                <w:lang w:val="bs-Latn-BA"/>
              </w:rPr>
            </w:pPr>
          </w:p>
        </w:tc>
      </w:tr>
      <w:tr w:rsidR="000302B2" w:rsidRPr="006C7DFA" w:rsidTr="00084580">
        <w:trPr>
          <w:trHeight w:val="284"/>
          <w:jc w:val="center"/>
        </w:trPr>
        <w:tc>
          <w:tcPr>
            <w:tcW w:w="5171" w:type="dxa"/>
            <w:tcBorders>
              <w:top w:val="nil"/>
              <w:left w:val="single" w:sz="8" w:space="0" w:color="FFFFFF"/>
              <w:bottom w:val="nil"/>
              <w:right w:val="single" w:sz="8" w:space="0" w:color="FFFFFF"/>
            </w:tcBorders>
            <w:shd w:val="clear" w:color="000000" w:fill="5B9BD5"/>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UKUPNO</w:t>
            </w:r>
          </w:p>
        </w:tc>
        <w:tc>
          <w:tcPr>
            <w:tcW w:w="843" w:type="dxa"/>
            <w:tcBorders>
              <w:top w:val="nil"/>
              <w:left w:val="nil"/>
              <w:bottom w:val="nil"/>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2</w:t>
            </w:r>
          </w:p>
        </w:tc>
        <w:tc>
          <w:tcPr>
            <w:tcW w:w="1000" w:type="dxa"/>
            <w:tcBorders>
              <w:top w:val="nil"/>
              <w:left w:val="nil"/>
              <w:bottom w:val="nil"/>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71</w:t>
            </w:r>
          </w:p>
        </w:tc>
        <w:tc>
          <w:tcPr>
            <w:tcW w:w="1134" w:type="dxa"/>
            <w:tcBorders>
              <w:top w:val="nil"/>
              <w:left w:val="nil"/>
              <w:bottom w:val="nil"/>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18</w:t>
            </w:r>
          </w:p>
        </w:tc>
        <w:tc>
          <w:tcPr>
            <w:tcW w:w="1017" w:type="dxa"/>
            <w:tcBorders>
              <w:top w:val="nil"/>
              <w:left w:val="nil"/>
              <w:bottom w:val="nil"/>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3</w:t>
            </w:r>
          </w:p>
        </w:tc>
        <w:tc>
          <w:tcPr>
            <w:tcW w:w="943" w:type="dxa"/>
            <w:tcBorders>
              <w:top w:val="nil"/>
              <w:left w:val="nil"/>
              <w:bottom w:val="nil"/>
              <w:right w:val="single" w:sz="8" w:space="0" w:color="FFFFFF"/>
            </w:tcBorders>
            <w:shd w:val="clear" w:color="000000" w:fill="BDD6EE"/>
            <w:noWrap/>
            <w:vAlign w:val="center"/>
            <w:hideMark/>
          </w:tcPr>
          <w:p w:rsidR="000302B2" w:rsidRPr="006C7DFA" w:rsidRDefault="000302B2" w:rsidP="000302B2">
            <w:pPr>
              <w:jc w:val="center"/>
              <w:rPr>
                <w:rFonts w:asciiTheme="majorHAnsi" w:eastAsia="Times New Roman" w:hAnsiTheme="majorHAnsi"/>
                <w:b/>
                <w:color w:val="000000"/>
                <w:sz w:val="18"/>
                <w:szCs w:val="18"/>
                <w:lang w:val="bs-Latn-BA"/>
              </w:rPr>
            </w:pPr>
            <w:r w:rsidRPr="006C7DFA">
              <w:rPr>
                <w:rFonts w:asciiTheme="majorHAnsi" w:eastAsia="Times New Roman" w:hAnsiTheme="majorHAnsi"/>
                <w:b/>
                <w:color w:val="000000"/>
                <w:sz w:val="18"/>
                <w:szCs w:val="18"/>
                <w:lang w:val="bs-Latn-BA"/>
              </w:rPr>
              <w:t>0</w:t>
            </w:r>
          </w:p>
        </w:tc>
      </w:tr>
    </w:tbl>
    <w:p w:rsidR="000302B2" w:rsidRPr="006C7DFA" w:rsidRDefault="000302B2" w:rsidP="000302B2">
      <w:pPr>
        <w:pStyle w:val="Default"/>
        <w:spacing w:line="276" w:lineRule="auto"/>
        <w:jc w:val="both"/>
        <w:rPr>
          <w:rFonts w:asciiTheme="majorHAnsi" w:hAnsiTheme="majorHAnsi"/>
          <w:lang w:val="bs-Latn-BA"/>
        </w:rPr>
      </w:pPr>
    </w:p>
    <w:p w:rsidR="002A7BE2" w:rsidRPr="006C7DFA" w:rsidRDefault="000302B2" w:rsidP="009F7EDD">
      <w:pPr>
        <w:spacing w:line="276" w:lineRule="auto"/>
        <w:jc w:val="both"/>
        <w:rPr>
          <w:rFonts w:asciiTheme="majorHAnsi" w:hAnsiTheme="majorHAnsi"/>
          <w:szCs w:val="24"/>
          <w:lang w:val="bs-Latn-BA"/>
        </w:rPr>
      </w:pPr>
      <w:r w:rsidRPr="006C7DFA">
        <w:rPr>
          <w:rFonts w:asciiTheme="majorHAnsi" w:eastAsia="Times New Roman" w:hAnsiTheme="majorHAnsi"/>
          <w:color w:val="000000"/>
          <w:lang w:val="bs-Latn-BA"/>
        </w:rPr>
        <w:t>Ukupan broj projekata planiran za implementaciju u 2017. godini je 94, kontinuirano se provodi 71 (75,53</w:t>
      </w:r>
      <w:r w:rsidRPr="006C7DFA">
        <w:rPr>
          <w:rStyle w:val="Strong"/>
          <w:rFonts w:asciiTheme="majorHAnsi" w:eastAsia="Times New Roman" w:hAnsiTheme="majorHAnsi"/>
          <w:color w:val="000000"/>
          <w:lang w:val="bs-Latn-BA"/>
        </w:rPr>
        <w:t>%</w:t>
      </w:r>
      <w:r w:rsidRPr="006C7DFA">
        <w:rPr>
          <w:rFonts w:asciiTheme="majorHAnsi" w:eastAsia="Times New Roman" w:hAnsiTheme="majorHAnsi"/>
          <w:color w:val="000000"/>
          <w:lang w:val="bs-Latn-BA"/>
        </w:rPr>
        <w:t>), završeno je 2 (2,13</w:t>
      </w:r>
      <w:r w:rsidRPr="006C7DFA">
        <w:rPr>
          <w:rStyle w:val="Strong"/>
          <w:rFonts w:asciiTheme="majorHAnsi" w:eastAsia="Times New Roman" w:hAnsiTheme="majorHAnsi"/>
          <w:color w:val="000000"/>
          <w:lang w:val="bs-Latn-BA"/>
        </w:rPr>
        <w:t>%</w:t>
      </w:r>
      <w:r w:rsidRPr="006C7DFA">
        <w:rPr>
          <w:rFonts w:asciiTheme="majorHAnsi" w:eastAsia="Times New Roman" w:hAnsiTheme="majorHAnsi"/>
          <w:color w:val="000000"/>
          <w:lang w:val="bs-Latn-BA"/>
        </w:rPr>
        <w:t>), odgođeno 3 (3,19</w:t>
      </w:r>
      <w:r w:rsidRPr="006C7DFA">
        <w:rPr>
          <w:rStyle w:val="Strong"/>
          <w:rFonts w:asciiTheme="majorHAnsi" w:eastAsia="Times New Roman" w:hAnsiTheme="majorHAnsi"/>
          <w:color w:val="000000"/>
          <w:lang w:val="bs-Latn-BA"/>
        </w:rPr>
        <w:t>%</w:t>
      </w:r>
      <w:r w:rsidRPr="006C7DFA">
        <w:rPr>
          <w:rFonts w:asciiTheme="majorHAnsi" w:eastAsia="Times New Roman" w:hAnsiTheme="majorHAnsi"/>
          <w:color w:val="000000"/>
          <w:lang w:val="bs-Latn-BA"/>
        </w:rPr>
        <w:t>), započeto 18 (19,15</w:t>
      </w:r>
      <w:r w:rsidRPr="006C7DFA">
        <w:rPr>
          <w:rStyle w:val="Strong"/>
          <w:rFonts w:asciiTheme="majorHAnsi" w:eastAsia="Times New Roman" w:hAnsiTheme="majorHAnsi"/>
          <w:color w:val="000000"/>
          <w:lang w:val="bs-Latn-BA"/>
        </w:rPr>
        <w:t>%</w:t>
      </w:r>
      <w:r w:rsidRPr="006C7DFA">
        <w:rPr>
          <w:rFonts w:asciiTheme="majorHAnsi" w:eastAsia="Times New Roman" w:hAnsiTheme="majorHAnsi"/>
          <w:color w:val="000000"/>
          <w:lang w:val="bs-Latn-BA"/>
        </w:rPr>
        <w:t xml:space="preserve">) i </w:t>
      </w:r>
      <w:r w:rsidRPr="006C7DFA">
        <w:rPr>
          <w:rStyle w:val="Strong"/>
          <w:rFonts w:asciiTheme="majorHAnsi" w:eastAsia="Times New Roman" w:hAnsiTheme="majorHAnsi"/>
          <w:b w:val="0"/>
          <w:color w:val="000000"/>
          <w:lang w:val="bs-Latn-BA"/>
        </w:rPr>
        <w:t>nijedan</w:t>
      </w:r>
      <w:r w:rsidRPr="006C7DFA">
        <w:rPr>
          <w:rFonts w:asciiTheme="majorHAnsi" w:eastAsia="Times New Roman" w:hAnsiTheme="majorHAnsi"/>
          <w:color w:val="000000"/>
          <w:lang w:val="bs-Latn-BA"/>
        </w:rPr>
        <w:t xml:space="preserve"> otkazan projekat. </w:t>
      </w:r>
      <w:r w:rsidR="00C33937" w:rsidRPr="006C7DFA">
        <w:rPr>
          <w:rFonts w:asciiTheme="majorHAnsi" w:hAnsiTheme="majorHAnsi"/>
          <w:szCs w:val="24"/>
          <w:lang w:val="bs-Latn-BA"/>
        </w:rPr>
        <w:t>Od ukupno</w:t>
      </w:r>
      <w:r w:rsidR="005A47FD" w:rsidRPr="006C7DFA">
        <w:rPr>
          <w:rFonts w:asciiTheme="majorHAnsi" w:hAnsiTheme="majorHAnsi"/>
          <w:szCs w:val="24"/>
          <w:lang w:val="bs-Latn-BA"/>
        </w:rPr>
        <w:t>g iznosa</w:t>
      </w:r>
      <w:r w:rsidR="00C33937" w:rsidRPr="006C7DFA">
        <w:rPr>
          <w:rFonts w:asciiTheme="majorHAnsi" w:hAnsiTheme="majorHAnsi"/>
          <w:szCs w:val="24"/>
          <w:lang w:val="bs-Latn-BA"/>
        </w:rPr>
        <w:t xml:space="preserve"> planiranih sredst</w:t>
      </w:r>
      <w:r w:rsidR="00860BFC" w:rsidRPr="006C7DFA">
        <w:rPr>
          <w:rFonts w:asciiTheme="majorHAnsi" w:hAnsiTheme="majorHAnsi"/>
          <w:szCs w:val="24"/>
          <w:lang w:val="bs-Latn-BA"/>
        </w:rPr>
        <w:t>a</w:t>
      </w:r>
      <w:r w:rsidR="00C33937" w:rsidRPr="006C7DFA">
        <w:rPr>
          <w:rFonts w:asciiTheme="majorHAnsi" w:hAnsiTheme="majorHAnsi"/>
          <w:szCs w:val="24"/>
          <w:lang w:val="bs-Latn-BA"/>
        </w:rPr>
        <w:t>va za realizaciju Strategije razvoja Tuzlanskog kantona</w:t>
      </w:r>
      <w:r w:rsidR="00C33937" w:rsidRPr="006C7DFA" w:rsidDel="00C33937">
        <w:rPr>
          <w:rFonts w:asciiTheme="majorHAnsi" w:hAnsiTheme="majorHAnsi"/>
          <w:szCs w:val="24"/>
          <w:lang w:val="bs-Latn-BA"/>
        </w:rPr>
        <w:t xml:space="preserve"> </w:t>
      </w:r>
      <w:r w:rsidR="002A7BE2" w:rsidRPr="006C7DFA">
        <w:rPr>
          <w:rFonts w:asciiTheme="majorHAnsi" w:hAnsiTheme="majorHAnsi"/>
          <w:szCs w:val="24"/>
          <w:lang w:val="bs-Latn-BA"/>
        </w:rPr>
        <w:t>za ukupno 45 mjera u svim sektorima za 2017.</w:t>
      </w:r>
      <w:r w:rsidR="00BB30FC" w:rsidRPr="006C7DFA">
        <w:rPr>
          <w:rFonts w:asciiTheme="majorHAnsi" w:hAnsiTheme="majorHAnsi"/>
          <w:szCs w:val="24"/>
          <w:lang w:val="bs-Latn-BA"/>
        </w:rPr>
        <w:t xml:space="preserve"> </w:t>
      </w:r>
      <w:r w:rsidR="002A7BE2" w:rsidRPr="006C7DFA">
        <w:rPr>
          <w:rFonts w:asciiTheme="majorHAnsi" w:hAnsiTheme="majorHAnsi"/>
          <w:szCs w:val="24"/>
          <w:lang w:val="bs-Latn-BA"/>
        </w:rPr>
        <w:t>godinu planiran</w:t>
      </w:r>
      <w:r w:rsidR="00C33937" w:rsidRPr="006C7DFA">
        <w:rPr>
          <w:rFonts w:asciiTheme="majorHAnsi" w:hAnsiTheme="majorHAnsi"/>
          <w:szCs w:val="24"/>
          <w:lang w:val="bs-Latn-BA"/>
        </w:rPr>
        <w:t xml:space="preserve"> je</w:t>
      </w:r>
      <w:r w:rsidR="002A7BE2" w:rsidRPr="006C7DFA">
        <w:rPr>
          <w:rFonts w:asciiTheme="majorHAnsi" w:hAnsiTheme="majorHAnsi"/>
          <w:szCs w:val="24"/>
          <w:lang w:val="bs-Latn-BA"/>
        </w:rPr>
        <w:t xml:space="preserve"> iznos od </w:t>
      </w:r>
      <w:r w:rsidRPr="006C7DFA">
        <w:rPr>
          <w:rFonts w:asciiTheme="majorHAnsi" w:hAnsiTheme="majorHAnsi"/>
          <w:szCs w:val="24"/>
          <w:lang w:val="bs-Latn-BA"/>
        </w:rPr>
        <w:t>114.960.504</w:t>
      </w:r>
      <w:r w:rsidR="002A7BE2" w:rsidRPr="006C7DFA">
        <w:rPr>
          <w:rFonts w:asciiTheme="majorHAnsi" w:hAnsiTheme="majorHAnsi"/>
          <w:szCs w:val="24"/>
          <w:lang w:val="bs-Latn-BA"/>
        </w:rPr>
        <w:t xml:space="preserve"> KM, a vrijednost sredstava uloženih po svim osnovama iznosi  </w:t>
      </w:r>
      <w:r w:rsidRPr="006C7DFA">
        <w:rPr>
          <w:rFonts w:asciiTheme="majorHAnsi" w:hAnsiTheme="majorHAnsi"/>
          <w:szCs w:val="24"/>
          <w:lang w:val="bs-Latn-BA"/>
        </w:rPr>
        <w:t>78.566.043</w:t>
      </w:r>
      <w:r w:rsidR="002A7BE2" w:rsidRPr="006C7DFA">
        <w:rPr>
          <w:rFonts w:asciiTheme="majorHAnsi" w:hAnsiTheme="majorHAnsi"/>
          <w:szCs w:val="24"/>
          <w:lang w:val="bs-Latn-BA"/>
        </w:rPr>
        <w:t xml:space="preserve">  KM </w:t>
      </w:r>
      <w:r w:rsidRPr="006C7DFA">
        <w:rPr>
          <w:rFonts w:asciiTheme="majorHAnsi" w:hAnsiTheme="majorHAnsi"/>
          <w:szCs w:val="24"/>
          <w:lang w:val="bs-Latn-BA"/>
        </w:rPr>
        <w:t xml:space="preserve">ili 68,34% </w:t>
      </w:r>
      <w:r w:rsidR="002A7BE2" w:rsidRPr="006C7DFA">
        <w:rPr>
          <w:rFonts w:asciiTheme="majorHAnsi" w:hAnsiTheme="majorHAnsi"/>
          <w:szCs w:val="24"/>
          <w:lang w:val="bs-Latn-BA"/>
        </w:rPr>
        <w:t xml:space="preserve">i to prema strukturi predstavljenoj u </w:t>
      </w:r>
      <w:r w:rsidR="00566B26" w:rsidRPr="006C7DFA">
        <w:rPr>
          <w:rFonts w:asciiTheme="majorHAnsi" w:hAnsiTheme="majorHAnsi"/>
          <w:szCs w:val="24"/>
          <w:lang w:val="bs-Latn-BA"/>
        </w:rPr>
        <w:t>slijedećem tabelarnom prikazu.</w:t>
      </w:r>
    </w:p>
    <w:p w:rsidR="002A7BE2" w:rsidRPr="006C7DFA" w:rsidRDefault="002A7BE2" w:rsidP="002A7BE2">
      <w:pPr>
        <w:ind w:firstLine="708"/>
        <w:jc w:val="both"/>
        <w:rPr>
          <w:rFonts w:asciiTheme="majorHAnsi" w:hAnsiTheme="majorHAnsi"/>
          <w:sz w:val="24"/>
          <w:szCs w:val="24"/>
          <w:lang w:val="bs-Latn-BA"/>
        </w:rPr>
      </w:pPr>
    </w:p>
    <w:p w:rsidR="00106A2E" w:rsidRPr="006C7DFA" w:rsidRDefault="00106A2E" w:rsidP="00106A2E">
      <w:pPr>
        <w:pStyle w:val="Caption"/>
        <w:keepNext/>
        <w:spacing w:after="0"/>
        <w:jc w:val="center"/>
        <w:rPr>
          <w:rFonts w:asciiTheme="majorHAnsi" w:hAnsiTheme="majorHAnsi"/>
          <w:sz w:val="18"/>
          <w:szCs w:val="18"/>
          <w:lang w:val="bs-Latn-BA"/>
        </w:rPr>
      </w:pPr>
      <w:bookmarkStart w:id="5" w:name="_Toc528923128"/>
      <w:r w:rsidRPr="006C7DFA">
        <w:rPr>
          <w:rFonts w:asciiTheme="majorHAnsi" w:hAnsiTheme="majorHAnsi"/>
          <w:sz w:val="18"/>
          <w:szCs w:val="18"/>
          <w:lang w:val="bs-Latn-BA"/>
        </w:rPr>
        <w:t xml:space="preserve">Tabela </w:t>
      </w:r>
      <w:r w:rsidR="009F0446" w:rsidRPr="006C7DFA">
        <w:rPr>
          <w:rFonts w:asciiTheme="majorHAnsi" w:hAnsiTheme="majorHAnsi"/>
          <w:sz w:val="18"/>
          <w:szCs w:val="18"/>
          <w:lang w:val="bs-Latn-BA"/>
        </w:rPr>
        <w:fldChar w:fldCharType="begin"/>
      </w:r>
      <w:r w:rsidRPr="006C7DFA">
        <w:rPr>
          <w:rFonts w:asciiTheme="majorHAnsi" w:hAnsiTheme="majorHAnsi"/>
          <w:sz w:val="18"/>
          <w:szCs w:val="18"/>
          <w:lang w:val="bs-Latn-BA"/>
        </w:rPr>
        <w:instrText xml:space="preserve"> SEQ Tabela \* ARABIC </w:instrText>
      </w:r>
      <w:r w:rsidR="009F0446" w:rsidRPr="006C7DFA">
        <w:rPr>
          <w:rFonts w:asciiTheme="majorHAnsi" w:hAnsiTheme="majorHAnsi"/>
          <w:sz w:val="18"/>
          <w:szCs w:val="18"/>
          <w:lang w:val="bs-Latn-BA"/>
        </w:rPr>
        <w:fldChar w:fldCharType="separate"/>
      </w:r>
      <w:r w:rsidR="009F7EDD" w:rsidRPr="006C7DFA">
        <w:rPr>
          <w:rFonts w:asciiTheme="majorHAnsi" w:hAnsiTheme="majorHAnsi"/>
          <w:noProof/>
          <w:sz w:val="18"/>
          <w:szCs w:val="18"/>
          <w:lang w:val="bs-Latn-BA"/>
        </w:rPr>
        <w:t>3</w:t>
      </w:r>
      <w:r w:rsidR="009F0446" w:rsidRPr="006C7DFA">
        <w:rPr>
          <w:rFonts w:asciiTheme="majorHAnsi" w:hAnsiTheme="majorHAnsi"/>
          <w:sz w:val="18"/>
          <w:szCs w:val="18"/>
          <w:lang w:val="bs-Latn-BA"/>
        </w:rPr>
        <w:fldChar w:fldCharType="end"/>
      </w:r>
      <w:r w:rsidRPr="006C7DFA">
        <w:rPr>
          <w:rFonts w:asciiTheme="majorHAnsi" w:hAnsiTheme="majorHAnsi"/>
          <w:sz w:val="18"/>
          <w:szCs w:val="18"/>
          <w:lang w:val="bs-Latn-BA"/>
        </w:rPr>
        <w:t>.Vrijednost realizovanih sredstava po Strateškim ciljevima u 2017. godini</w:t>
      </w:r>
      <w:bookmarkEnd w:id="5"/>
    </w:p>
    <w:tbl>
      <w:tblPr>
        <w:tblStyle w:val="MediumShading1-Accent11"/>
        <w:tblW w:w="9806" w:type="dxa"/>
        <w:jc w:val="center"/>
        <w:tblLook w:val="04A0"/>
      </w:tblPr>
      <w:tblGrid>
        <w:gridCol w:w="4910"/>
        <w:gridCol w:w="1778"/>
        <w:gridCol w:w="1842"/>
        <w:gridCol w:w="1276"/>
      </w:tblGrid>
      <w:tr w:rsidR="00CE3F06" w:rsidRPr="006C7DFA" w:rsidTr="009F7EDD">
        <w:trPr>
          <w:cnfStyle w:val="100000000000"/>
          <w:trHeight w:val="576"/>
          <w:jc w:val="center"/>
        </w:trPr>
        <w:tc>
          <w:tcPr>
            <w:cnfStyle w:val="001000000000"/>
            <w:tcW w:w="4910" w:type="dxa"/>
            <w:shd w:val="clear" w:color="auto" w:fill="548DD4" w:themeFill="text2" w:themeFillTint="99"/>
            <w:vAlign w:val="center"/>
            <w:hideMark/>
          </w:tcPr>
          <w:p w:rsidR="00CE3F06" w:rsidRPr="006C7DFA" w:rsidRDefault="00CE3F06" w:rsidP="00106A2E">
            <w:pPr>
              <w:jc w:val="center"/>
              <w:rPr>
                <w:rFonts w:asciiTheme="majorHAnsi" w:eastAsia="Times New Roman" w:hAnsiTheme="majorHAnsi"/>
                <w:b w:val="0"/>
                <w:bCs w:val="0"/>
                <w:color w:val="000000"/>
                <w:sz w:val="18"/>
                <w:szCs w:val="18"/>
                <w:lang w:val="bs-Latn-BA"/>
              </w:rPr>
            </w:pPr>
            <w:r w:rsidRPr="006C7DFA">
              <w:rPr>
                <w:rFonts w:asciiTheme="majorHAnsi" w:eastAsia="Times New Roman" w:hAnsiTheme="majorHAnsi"/>
                <w:b w:val="0"/>
                <w:bCs w:val="0"/>
                <w:color w:val="000000"/>
                <w:sz w:val="18"/>
                <w:szCs w:val="18"/>
                <w:lang w:val="bs-Latn-BA"/>
              </w:rPr>
              <w:t xml:space="preserve">Izvještaj o provođenju operativnog/akcionog plana (2017-2019) za 2017. godinu </w:t>
            </w:r>
          </w:p>
        </w:tc>
        <w:tc>
          <w:tcPr>
            <w:tcW w:w="1778" w:type="dxa"/>
            <w:shd w:val="clear" w:color="auto" w:fill="548DD4" w:themeFill="text2" w:themeFillTint="99"/>
            <w:vAlign w:val="center"/>
            <w:hideMark/>
          </w:tcPr>
          <w:p w:rsidR="00CE3F06" w:rsidRPr="006C7DFA" w:rsidRDefault="00CE3F06" w:rsidP="00106A2E">
            <w:pPr>
              <w:jc w:val="center"/>
              <w:cnfStyle w:val="100000000000"/>
              <w:rPr>
                <w:rFonts w:asciiTheme="majorHAnsi" w:eastAsia="Times New Roman" w:hAnsiTheme="majorHAnsi"/>
                <w:b w:val="0"/>
                <w:color w:val="000000"/>
                <w:sz w:val="18"/>
                <w:szCs w:val="18"/>
                <w:lang w:val="bs-Latn-BA"/>
              </w:rPr>
            </w:pPr>
            <w:r w:rsidRPr="006C7DFA">
              <w:rPr>
                <w:rFonts w:asciiTheme="majorHAnsi" w:eastAsia="Times New Roman" w:hAnsiTheme="majorHAnsi"/>
                <w:b w:val="0"/>
                <w:color w:val="000000"/>
                <w:sz w:val="18"/>
                <w:szCs w:val="18"/>
                <w:lang w:val="bs-Latn-BA"/>
              </w:rPr>
              <w:t xml:space="preserve">Ukupno planirana sredstva u 2017. </w:t>
            </w:r>
          </w:p>
        </w:tc>
        <w:tc>
          <w:tcPr>
            <w:tcW w:w="1842" w:type="dxa"/>
            <w:shd w:val="clear" w:color="auto" w:fill="548DD4" w:themeFill="text2" w:themeFillTint="99"/>
            <w:vAlign w:val="center"/>
            <w:hideMark/>
          </w:tcPr>
          <w:p w:rsidR="00CE3F06" w:rsidRPr="006C7DFA" w:rsidRDefault="00CE3F06" w:rsidP="00106A2E">
            <w:pPr>
              <w:jc w:val="center"/>
              <w:cnfStyle w:val="100000000000"/>
              <w:rPr>
                <w:rFonts w:asciiTheme="majorHAnsi" w:eastAsia="Times New Roman" w:hAnsiTheme="majorHAnsi"/>
                <w:b w:val="0"/>
                <w:color w:val="000000"/>
                <w:sz w:val="18"/>
                <w:szCs w:val="18"/>
                <w:lang w:val="bs-Latn-BA"/>
              </w:rPr>
            </w:pPr>
            <w:r w:rsidRPr="006C7DFA">
              <w:rPr>
                <w:rFonts w:asciiTheme="majorHAnsi" w:eastAsia="Times New Roman" w:hAnsiTheme="majorHAnsi"/>
                <w:b w:val="0"/>
                <w:color w:val="000000"/>
                <w:sz w:val="18"/>
                <w:szCs w:val="18"/>
                <w:lang w:val="bs-Latn-BA"/>
              </w:rPr>
              <w:t xml:space="preserve">Ukupno realizovana sredstva u 2017. </w:t>
            </w:r>
          </w:p>
        </w:tc>
        <w:tc>
          <w:tcPr>
            <w:tcW w:w="1276" w:type="dxa"/>
            <w:shd w:val="clear" w:color="auto" w:fill="548DD4" w:themeFill="text2" w:themeFillTint="99"/>
            <w:vAlign w:val="center"/>
            <w:hideMark/>
          </w:tcPr>
          <w:p w:rsidR="00CE3F06" w:rsidRPr="006C7DFA" w:rsidRDefault="00CE3F06" w:rsidP="000302B2">
            <w:pPr>
              <w:jc w:val="center"/>
              <w:cnfStyle w:val="100000000000"/>
              <w:rPr>
                <w:rFonts w:asciiTheme="majorHAnsi" w:eastAsia="Times New Roman" w:hAnsiTheme="majorHAnsi"/>
                <w:b w:val="0"/>
                <w:color w:val="000000"/>
                <w:sz w:val="18"/>
                <w:szCs w:val="18"/>
                <w:lang w:val="bs-Latn-BA"/>
              </w:rPr>
            </w:pPr>
            <w:r w:rsidRPr="006C7DFA">
              <w:rPr>
                <w:rFonts w:asciiTheme="majorHAnsi" w:eastAsia="Times New Roman" w:hAnsiTheme="majorHAnsi"/>
                <w:b w:val="0"/>
                <w:color w:val="000000"/>
                <w:sz w:val="18"/>
                <w:szCs w:val="18"/>
                <w:lang w:val="bs-Latn-BA"/>
              </w:rPr>
              <w:t>% realizacije</w:t>
            </w:r>
          </w:p>
        </w:tc>
      </w:tr>
      <w:tr w:rsidR="00CE3F06" w:rsidRPr="006C7DFA" w:rsidTr="00084580">
        <w:trPr>
          <w:cnfStyle w:val="000000100000"/>
          <w:trHeight w:val="624"/>
          <w:jc w:val="center"/>
        </w:trPr>
        <w:tc>
          <w:tcPr>
            <w:cnfStyle w:val="001000000000"/>
            <w:tcW w:w="4910" w:type="dxa"/>
            <w:vAlign w:val="center"/>
            <w:hideMark/>
          </w:tcPr>
          <w:p w:rsidR="00CE3F06" w:rsidRPr="006C7DFA" w:rsidRDefault="00CE3F06" w:rsidP="000302B2">
            <w:pPr>
              <w:rPr>
                <w:rFonts w:asciiTheme="majorHAnsi" w:eastAsia="Times New Roman" w:hAnsiTheme="majorHAnsi"/>
                <w:b w:val="0"/>
                <w:bCs w:val="0"/>
                <w:iCs/>
                <w:sz w:val="18"/>
                <w:szCs w:val="18"/>
                <w:lang w:val="bs-Latn-BA"/>
              </w:rPr>
            </w:pPr>
            <w:r w:rsidRPr="006C7DFA">
              <w:rPr>
                <w:rFonts w:asciiTheme="majorHAnsi" w:eastAsia="Times New Roman" w:hAnsiTheme="majorHAnsi"/>
                <w:b w:val="0"/>
                <w:bCs w:val="0"/>
                <w:iCs/>
                <w:sz w:val="18"/>
                <w:szCs w:val="18"/>
                <w:lang w:val="bs-Latn-BA"/>
              </w:rPr>
              <w:t>Strateški cilj 1: Osigurati stabilnost i prosperitet razvoja privrede Tuzlan</w:t>
            </w:r>
            <w:r w:rsidR="004E36C6" w:rsidRPr="006C7DFA">
              <w:rPr>
                <w:rFonts w:asciiTheme="majorHAnsi" w:eastAsia="Times New Roman" w:hAnsiTheme="majorHAnsi"/>
                <w:b w:val="0"/>
                <w:bCs w:val="0"/>
                <w:iCs/>
                <w:sz w:val="18"/>
                <w:szCs w:val="18"/>
                <w:lang w:val="bs-Latn-BA"/>
              </w:rPr>
              <w:t>skog kantona (ekonomski razvoj)</w:t>
            </w:r>
          </w:p>
        </w:tc>
        <w:tc>
          <w:tcPr>
            <w:tcW w:w="1778"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38.109.740</w:t>
            </w:r>
          </w:p>
        </w:tc>
        <w:tc>
          <w:tcPr>
            <w:tcW w:w="1842"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18.038.953</w:t>
            </w:r>
          </w:p>
        </w:tc>
        <w:tc>
          <w:tcPr>
            <w:tcW w:w="1276"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47,33%</w:t>
            </w:r>
          </w:p>
        </w:tc>
      </w:tr>
      <w:tr w:rsidR="00CE3F06" w:rsidRPr="006C7DFA" w:rsidTr="00084580">
        <w:trPr>
          <w:cnfStyle w:val="000000010000"/>
          <w:trHeight w:val="624"/>
          <w:jc w:val="center"/>
        </w:trPr>
        <w:tc>
          <w:tcPr>
            <w:cnfStyle w:val="001000000000"/>
            <w:tcW w:w="4910" w:type="dxa"/>
            <w:vAlign w:val="center"/>
            <w:hideMark/>
          </w:tcPr>
          <w:p w:rsidR="00CE3F06" w:rsidRPr="006C7DFA" w:rsidRDefault="00CE3F06" w:rsidP="000302B2">
            <w:pPr>
              <w:rPr>
                <w:rFonts w:asciiTheme="majorHAnsi" w:eastAsia="Times New Roman" w:hAnsiTheme="majorHAnsi"/>
                <w:b w:val="0"/>
                <w:bCs w:val="0"/>
                <w:iCs/>
                <w:sz w:val="18"/>
                <w:szCs w:val="18"/>
                <w:lang w:val="bs-Latn-BA"/>
              </w:rPr>
            </w:pPr>
            <w:r w:rsidRPr="006C7DFA">
              <w:rPr>
                <w:rFonts w:asciiTheme="majorHAnsi" w:eastAsia="Times New Roman" w:hAnsiTheme="majorHAnsi"/>
                <w:b w:val="0"/>
                <w:bCs w:val="0"/>
                <w:iCs/>
                <w:sz w:val="18"/>
                <w:szCs w:val="18"/>
                <w:lang w:val="bs-Latn-BA"/>
              </w:rPr>
              <w:t>Strateški cilj 2: Uspostaviti efikasne sisteme upravljanja razvojem ljudskih potencijala i tržišta rada, u cilju povećanja zapošljavanja (društveni razvoj)</w:t>
            </w:r>
          </w:p>
        </w:tc>
        <w:tc>
          <w:tcPr>
            <w:tcW w:w="1778"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7.544.979</w:t>
            </w:r>
          </w:p>
        </w:tc>
        <w:tc>
          <w:tcPr>
            <w:tcW w:w="1842"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7.450.179</w:t>
            </w:r>
          </w:p>
        </w:tc>
        <w:tc>
          <w:tcPr>
            <w:tcW w:w="1276"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98,74%</w:t>
            </w:r>
          </w:p>
        </w:tc>
      </w:tr>
      <w:tr w:rsidR="00CE3F06" w:rsidRPr="006C7DFA" w:rsidTr="00084580">
        <w:trPr>
          <w:cnfStyle w:val="000000100000"/>
          <w:trHeight w:val="624"/>
          <w:jc w:val="center"/>
        </w:trPr>
        <w:tc>
          <w:tcPr>
            <w:cnfStyle w:val="001000000000"/>
            <w:tcW w:w="4910" w:type="dxa"/>
            <w:vAlign w:val="center"/>
            <w:hideMark/>
          </w:tcPr>
          <w:p w:rsidR="00CE3F06" w:rsidRPr="006C7DFA" w:rsidRDefault="00CE3F06" w:rsidP="000302B2">
            <w:pPr>
              <w:rPr>
                <w:rFonts w:asciiTheme="majorHAnsi" w:eastAsia="Times New Roman" w:hAnsiTheme="majorHAnsi"/>
                <w:b w:val="0"/>
                <w:bCs w:val="0"/>
                <w:iCs/>
                <w:sz w:val="18"/>
                <w:szCs w:val="18"/>
                <w:lang w:val="bs-Latn-BA"/>
              </w:rPr>
            </w:pPr>
            <w:r w:rsidRPr="006C7DFA">
              <w:rPr>
                <w:rFonts w:asciiTheme="majorHAnsi" w:eastAsia="Times New Roman" w:hAnsiTheme="majorHAnsi"/>
                <w:b w:val="0"/>
                <w:bCs w:val="0"/>
                <w:iCs/>
                <w:sz w:val="18"/>
                <w:szCs w:val="18"/>
                <w:lang w:val="bs-Latn-BA"/>
              </w:rPr>
              <w:t>Strateški cilj 3: Poboljšati kvalitetu života, sigurnost i socijalnu uključenost građana i učiniti politiku socijalne zaštite pravičnom i djelotvornom</w:t>
            </w:r>
          </w:p>
        </w:tc>
        <w:tc>
          <w:tcPr>
            <w:tcW w:w="1778"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34.177.520</w:t>
            </w:r>
          </w:p>
        </w:tc>
        <w:tc>
          <w:tcPr>
            <w:tcW w:w="1842"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30.469.707</w:t>
            </w:r>
          </w:p>
        </w:tc>
        <w:tc>
          <w:tcPr>
            <w:tcW w:w="1276"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89,15%</w:t>
            </w:r>
          </w:p>
        </w:tc>
      </w:tr>
      <w:tr w:rsidR="00CE3F06" w:rsidRPr="006C7DFA" w:rsidTr="00084580">
        <w:trPr>
          <w:cnfStyle w:val="000000010000"/>
          <w:trHeight w:val="624"/>
          <w:jc w:val="center"/>
        </w:trPr>
        <w:tc>
          <w:tcPr>
            <w:cnfStyle w:val="001000000000"/>
            <w:tcW w:w="4910" w:type="dxa"/>
            <w:vAlign w:val="center"/>
            <w:hideMark/>
          </w:tcPr>
          <w:p w:rsidR="00CE3F06" w:rsidRPr="006C7DFA" w:rsidRDefault="00CE3F06" w:rsidP="000302B2">
            <w:pPr>
              <w:rPr>
                <w:rFonts w:asciiTheme="majorHAnsi" w:eastAsia="Times New Roman" w:hAnsiTheme="majorHAnsi"/>
                <w:b w:val="0"/>
                <w:bCs w:val="0"/>
                <w:iCs/>
                <w:sz w:val="18"/>
                <w:szCs w:val="18"/>
                <w:lang w:val="bs-Latn-BA"/>
              </w:rPr>
            </w:pPr>
            <w:r w:rsidRPr="006C7DFA">
              <w:rPr>
                <w:rFonts w:asciiTheme="majorHAnsi" w:eastAsia="Times New Roman" w:hAnsiTheme="majorHAnsi"/>
                <w:b w:val="0"/>
                <w:bCs w:val="0"/>
                <w:iCs/>
                <w:sz w:val="18"/>
                <w:szCs w:val="18"/>
                <w:lang w:val="bs-Latn-BA"/>
              </w:rPr>
              <w:t xml:space="preserve">Strateški cilj 4: Modernizovati i učiniti ekonomski održivom javnu infrastrukturu, prvenstveno </w:t>
            </w:r>
            <w:r w:rsidR="004E36C6" w:rsidRPr="006C7DFA">
              <w:rPr>
                <w:rFonts w:asciiTheme="majorHAnsi" w:eastAsia="Times New Roman" w:hAnsiTheme="majorHAnsi"/>
                <w:b w:val="0"/>
                <w:bCs w:val="0"/>
                <w:iCs/>
                <w:sz w:val="18"/>
                <w:szCs w:val="18"/>
                <w:lang w:val="bs-Latn-BA"/>
              </w:rPr>
              <w:t>saobraćajnu, vodnu i energetsku</w:t>
            </w:r>
          </w:p>
        </w:tc>
        <w:tc>
          <w:tcPr>
            <w:tcW w:w="1778"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26.619.529</w:t>
            </w:r>
          </w:p>
        </w:tc>
        <w:tc>
          <w:tcPr>
            <w:tcW w:w="1842"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18.686.940</w:t>
            </w:r>
          </w:p>
        </w:tc>
        <w:tc>
          <w:tcPr>
            <w:tcW w:w="1276" w:type="dxa"/>
            <w:vAlign w:val="center"/>
            <w:hideMark/>
          </w:tcPr>
          <w:p w:rsidR="00CE3F06" w:rsidRPr="006C7DFA" w:rsidRDefault="00CE3F06" w:rsidP="000302B2">
            <w:pPr>
              <w:jc w:val="center"/>
              <w:cnfStyle w:val="00000001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70,20%</w:t>
            </w:r>
          </w:p>
        </w:tc>
      </w:tr>
      <w:tr w:rsidR="00CE3F06" w:rsidRPr="006C7DFA" w:rsidTr="00084580">
        <w:trPr>
          <w:cnfStyle w:val="000000100000"/>
          <w:trHeight w:val="624"/>
          <w:jc w:val="center"/>
        </w:trPr>
        <w:tc>
          <w:tcPr>
            <w:cnfStyle w:val="001000000000"/>
            <w:tcW w:w="4910" w:type="dxa"/>
            <w:vAlign w:val="center"/>
            <w:hideMark/>
          </w:tcPr>
          <w:p w:rsidR="00CE3F06" w:rsidRPr="006C7DFA" w:rsidRDefault="00CE3F06" w:rsidP="000302B2">
            <w:pPr>
              <w:rPr>
                <w:rFonts w:asciiTheme="majorHAnsi" w:eastAsia="Times New Roman" w:hAnsiTheme="majorHAnsi"/>
                <w:b w:val="0"/>
                <w:bCs w:val="0"/>
                <w:iCs/>
                <w:sz w:val="18"/>
                <w:szCs w:val="18"/>
                <w:lang w:val="bs-Latn-BA"/>
              </w:rPr>
            </w:pPr>
            <w:r w:rsidRPr="006C7DFA">
              <w:rPr>
                <w:rFonts w:asciiTheme="majorHAnsi" w:eastAsia="Times New Roman" w:hAnsiTheme="majorHAnsi"/>
                <w:b w:val="0"/>
                <w:bCs w:val="0"/>
                <w:iCs/>
                <w:sz w:val="18"/>
                <w:szCs w:val="18"/>
                <w:lang w:val="bs-Latn-BA"/>
              </w:rPr>
              <w:t>Strateški cilj 5: Uspostaviti funkcionalan sistem zaštite okoliša i održivog upravljanja prirodnim resursima</w:t>
            </w:r>
          </w:p>
        </w:tc>
        <w:tc>
          <w:tcPr>
            <w:tcW w:w="1778"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8.508.736</w:t>
            </w:r>
          </w:p>
        </w:tc>
        <w:tc>
          <w:tcPr>
            <w:tcW w:w="1842"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3.920.264</w:t>
            </w:r>
          </w:p>
        </w:tc>
        <w:tc>
          <w:tcPr>
            <w:tcW w:w="1276" w:type="dxa"/>
            <w:vAlign w:val="center"/>
            <w:hideMark/>
          </w:tcPr>
          <w:p w:rsidR="00CE3F06" w:rsidRPr="006C7DFA" w:rsidRDefault="00CE3F06" w:rsidP="000302B2">
            <w:pPr>
              <w:jc w:val="center"/>
              <w:cnfStyle w:val="000000100000"/>
              <w:rPr>
                <w:rFonts w:asciiTheme="majorHAnsi" w:eastAsia="Times New Roman" w:hAnsiTheme="majorHAnsi"/>
                <w:bCs/>
                <w:iCs/>
                <w:sz w:val="18"/>
                <w:szCs w:val="18"/>
                <w:lang w:val="bs-Latn-BA"/>
              </w:rPr>
            </w:pPr>
            <w:r w:rsidRPr="006C7DFA">
              <w:rPr>
                <w:rFonts w:asciiTheme="majorHAnsi" w:eastAsia="Times New Roman" w:hAnsiTheme="majorHAnsi"/>
                <w:bCs/>
                <w:iCs/>
                <w:sz w:val="18"/>
                <w:szCs w:val="18"/>
                <w:lang w:val="bs-Latn-BA"/>
              </w:rPr>
              <w:t>46,07%</w:t>
            </w:r>
          </w:p>
        </w:tc>
      </w:tr>
      <w:tr w:rsidR="00CE3F06" w:rsidRPr="006C7DFA" w:rsidTr="009F7EDD">
        <w:trPr>
          <w:cnfStyle w:val="000000010000"/>
          <w:trHeight w:val="316"/>
          <w:jc w:val="center"/>
        </w:trPr>
        <w:tc>
          <w:tcPr>
            <w:cnfStyle w:val="001000000000"/>
            <w:tcW w:w="4910" w:type="dxa"/>
            <w:noWrap/>
            <w:vAlign w:val="center"/>
            <w:hideMark/>
          </w:tcPr>
          <w:p w:rsidR="00CE3F06" w:rsidRPr="006C7DFA" w:rsidRDefault="00CE3F06" w:rsidP="009F7EDD">
            <w:pPr>
              <w:spacing w:line="276" w:lineRule="auto"/>
              <w:jc w:val="center"/>
              <w:rPr>
                <w:rFonts w:asciiTheme="majorHAnsi" w:eastAsia="Times New Roman" w:hAnsiTheme="majorHAnsi"/>
                <w:bCs w:val="0"/>
                <w:color w:val="000000"/>
                <w:sz w:val="18"/>
                <w:szCs w:val="18"/>
                <w:lang w:val="bs-Latn-BA"/>
              </w:rPr>
            </w:pPr>
            <w:r w:rsidRPr="006C7DFA">
              <w:rPr>
                <w:rFonts w:asciiTheme="majorHAnsi" w:eastAsia="Times New Roman" w:hAnsiTheme="majorHAnsi"/>
                <w:bCs w:val="0"/>
                <w:color w:val="000000"/>
                <w:sz w:val="18"/>
                <w:szCs w:val="18"/>
                <w:lang w:val="bs-Latn-BA"/>
              </w:rPr>
              <w:t>UKUPNO</w:t>
            </w:r>
          </w:p>
        </w:tc>
        <w:tc>
          <w:tcPr>
            <w:tcW w:w="1778" w:type="dxa"/>
            <w:noWrap/>
            <w:vAlign w:val="center"/>
            <w:hideMark/>
          </w:tcPr>
          <w:p w:rsidR="00CE3F06" w:rsidRPr="006C7DFA" w:rsidRDefault="00CE3F06" w:rsidP="009F7EDD">
            <w:pPr>
              <w:spacing w:line="276" w:lineRule="auto"/>
              <w:jc w:val="center"/>
              <w:cnfStyle w:val="000000010000"/>
              <w:rPr>
                <w:rFonts w:asciiTheme="majorHAnsi" w:eastAsia="Times New Roman" w:hAnsiTheme="majorHAnsi"/>
                <w:b/>
                <w:bCs/>
                <w:color w:val="000000"/>
                <w:sz w:val="18"/>
                <w:szCs w:val="18"/>
                <w:lang w:val="bs-Latn-BA"/>
              </w:rPr>
            </w:pPr>
            <w:r w:rsidRPr="006C7DFA">
              <w:rPr>
                <w:rFonts w:asciiTheme="majorHAnsi" w:eastAsia="Times New Roman" w:hAnsiTheme="majorHAnsi"/>
                <w:b/>
                <w:bCs/>
                <w:color w:val="000000"/>
                <w:sz w:val="18"/>
                <w:szCs w:val="18"/>
                <w:lang w:val="bs-Latn-BA"/>
              </w:rPr>
              <w:t>114.960.504</w:t>
            </w:r>
          </w:p>
        </w:tc>
        <w:tc>
          <w:tcPr>
            <w:tcW w:w="1842" w:type="dxa"/>
            <w:noWrap/>
            <w:vAlign w:val="center"/>
            <w:hideMark/>
          </w:tcPr>
          <w:p w:rsidR="00CE3F06" w:rsidRPr="006C7DFA" w:rsidRDefault="00CE3F06" w:rsidP="009F7EDD">
            <w:pPr>
              <w:spacing w:line="276" w:lineRule="auto"/>
              <w:jc w:val="center"/>
              <w:cnfStyle w:val="000000010000"/>
              <w:rPr>
                <w:rFonts w:asciiTheme="majorHAnsi" w:eastAsia="Times New Roman" w:hAnsiTheme="majorHAnsi"/>
                <w:b/>
                <w:bCs/>
                <w:color w:val="000000"/>
                <w:sz w:val="18"/>
                <w:szCs w:val="18"/>
                <w:lang w:val="bs-Latn-BA"/>
              </w:rPr>
            </w:pPr>
            <w:r w:rsidRPr="006C7DFA">
              <w:rPr>
                <w:rFonts w:asciiTheme="majorHAnsi" w:eastAsia="Times New Roman" w:hAnsiTheme="majorHAnsi"/>
                <w:b/>
                <w:bCs/>
                <w:color w:val="000000"/>
                <w:sz w:val="18"/>
                <w:szCs w:val="18"/>
                <w:lang w:val="bs-Latn-BA"/>
              </w:rPr>
              <w:t>78.566.043</w:t>
            </w:r>
          </w:p>
        </w:tc>
        <w:tc>
          <w:tcPr>
            <w:tcW w:w="1276" w:type="dxa"/>
            <w:noWrap/>
            <w:vAlign w:val="center"/>
            <w:hideMark/>
          </w:tcPr>
          <w:p w:rsidR="00CE3F06" w:rsidRPr="006C7DFA" w:rsidRDefault="00CE3F06" w:rsidP="009F7EDD">
            <w:pPr>
              <w:spacing w:line="276" w:lineRule="auto"/>
              <w:jc w:val="center"/>
              <w:cnfStyle w:val="000000010000"/>
              <w:rPr>
                <w:rFonts w:asciiTheme="majorHAnsi" w:eastAsia="Times New Roman" w:hAnsiTheme="majorHAnsi"/>
                <w:b/>
                <w:bCs/>
                <w:color w:val="000000"/>
                <w:sz w:val="18"/>
                <w:szCs w:val="18"/>
                <w:lang w:val="bs-Latn-BA"/>
              </w:rPr>
            </w:pPr>
            <w:r w:rsidRPr="006C7DFA">
              <w:rPr>
                <w:rFonts w:asciiTheme="majorHAnsi" w:eastAsia="Times New Roman" w:hAnsiTheme="majorHAnsi"/>
                <w:b/>
                <w:bCs/>
                <w:color w:val="000000"/>
                <w:sz w:val="18"/>
                <w:szCs w:val="18"/>
                <w:lang w:val="bs-Latn-BA"/>
              </w:rPr>
              <w:t>68,34%</w:t>
            </w:r>
          </w:p>
        </w:tc>
      </w:tr>
    </w:tbl>
    <w:p w:rsidR="00CE3F06" w:rsidRPr="006C7DFA" w:rsidRDefault="00CE3F06" w:rsidP="00212757">
      <w:pPr>
        <w:autoSpaceDE w:val="0"/>
        <w:autoSpaceDN w:val="0"/>
        <w:adjustRightInd w:val="0"/>
        <w:spacing w:after="120" w:line="276" w:lineRule="auto"/>
        <w:jc w:val="both"/>
        <w:rPr>
          <w:rFonts w:asciiTheme="majorHAnsi" w:hAnsiTheme="majorHAnsi"/>
          <w:lang w:val="bs-Latn-BA"/>
        </w:rPr>
      </w:pPr>
    </w:p>
    <w:p w:rsidR="00B578C8" w:rsidRPr="006C7DFA" w:rsidRDefault="00CE3F06" w:rsidP="00212757">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lastRenderedPageBreak/>
        <w:t xml:space="preserve">Najviše realizovanih sredstva u 2017. godini je u okviru Strateškog cilja 3: 30.469.707 KM, a </w:t>
      </w:r>
      <w:r w:rsidR="00B578C8" w:rsidRPr="006C7DFA">
        <w:rPr>
          <w:rFonts w:asciiTheme="majorHAnsi" w:hAnsiTheme="majorHAnsi"/>
          <w:lang w:val="bs-Latn-BA"/>
        </w:rPr>
        <w:t xml:space="preserve">zatim u okviru Strateškog </w:t>
      </w:r>
      <w:r w:rsidRPr="006C7DFA">
        <w:rPr>
          <w:rFonts w:asciiTheme="majorHAnsi" w:hAnsiTheme="majorHAnsi"/>
          <w:lang w:val="bs-Latn-BA"/>
        </w:rPr>
        <w:t>cilj</w:t>
      </w:r>
      <w:r w:rsidR="00B578C8" w:rsidRPr="006C7DFA">
        <w:rPr>
          <w:rFonts w:asciiTheme="majorHAnsi" w:hAnsiTheme="majorHAnsi"/>
          <w:lang w:val="bs-Latn-BA"/>
        </w:rPr>
        <w:t>a</w:t>
      </w:r>
      <w:r w:rsidRPr="006C7DFA">
        <w:rPr>
          <w:rFonts w:asciiTheme="majorHAnsi" w:hAnsiTheme="majorHAnsi"/>
          <w:lang w:val="bs-Latn-BA"/>
        </w:rPr>
        <w:t xml:space="preserve"> 1</w:t>
      </w:r>
      <w:r w:rsidR="00B578C8" w:rsidRPr="006C7DFA">
        <w:rPr>
          <w:rFonts w:asciiTheme="majorHAnsi" w:hAnsiTheme="majorHAnsi"/>
          <w:lang w:val="bs-Latn-BA"/>
        </w:rPr>
        <w:t>:</w:t>
      </w:r>
      <w:r w:rsidRPr="006C7DFA">
        <w:rPr>
          <w:rFonts w:asciiTheme="majorHAnsi" w:hAnsiTheme="majorHAnsi"/>
          <w:lang w:val="bs-Latn-BA"/>
        </w:rPr>
        <w:t xml:space="preserve"> iznos od 18.038.953 KM</w:t>
      </w:r>
      <w:r w:rsidR="00B578C8" w:rsidRPr="006C7DFA">
        <w:rPr>
          <w:rFonts w:asciiTheme="majorHAnsi" w:hAnsiTheme="majorHAnsi"/>
          <w:lang w:val="bs-Latn-BA"/>
        </w:rPr>
        <w:t>.</w:t>
      </w:r>
      <w:r w:rsidRPr="006C7DFA">
        <w:rPr>
          <w:rFonts w:asciiTheme="majorHAnsi" w:hAnsiTheme="majorHAnsi"/>
          <w:lang w:val="bs-Latn-BA"/>
        </w:rPr>
        <w:t xml:space="preserve"> Ministartvo za rad, socijalnu politiku i povratak TK u 2017.godini je za sveukupne potrebe socijalne zaštite  realizovano 29.546.238,56 KM (3.968.034,54 KM iz Budžeta FBiH) za razne oblike pomoći za 23.326 korisnika. Pored toga u okviru podrške povratnicima, raseljenim osobama i izbjeglicama realizovano je 679.278,77 KM.</w:t>
      </w:r>
      <w:r w:rsidR="00B578C8" w:rsidRPr="006C7DFA">
        <w:rPr>
          <w:rFonts w:asciiTheme="majorHAnsi" w:hAnsiTheme="majorHAnsi"/>
          <w:lang w:val="bs-Latn-BA"/>
        </w:rPr>
        <w:t xml:space="preserve"> </w:t>
      </w:r>
    </w:p>
    <w:p w:rsidR="00CE3F06" w:rsidRPr="006C7DFA" w:rsidRDefault="00CE3F06" w:rsidP="00212757">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t>Prikupljenim izvještajima o implementaciji strateških dokumenata u kojima su sadržani i godišnji izvještaji o radu resornih ministarstava ukupna vrijednost uloženih sredstava po svim osnovama iznosi 78.566.043 KM od čega 44.663.298 su realizirana sredstva iz Budžeta TK. Analizom izvještaja o radu može se konstatovati da načinom kako su izvještaji koncipirani da postoji još značajnih sredstava koja nisu obuhvaćena ovim izvještajem. Naime u izvještajima resornih ministarstava su prikazani prihodi i rashodi bez posebne specifikacije o rashodima po strukturi izdvajanja tako da nije moguće definisati izdvajanja na programske aktivnosti što će u narednom akcionom planu biti pokušano definisati, a time i naredna izrada izvještaja lakša i realnije prikazana. Iz ostalih budžetskih sredstava (viših i nižih nivoa vlasti)  je realizirano 32.557.906 KM. Iz EU fondova i drugih vanjskih izvora  realizirano je  925.345 KM.</w:t>
      </w:r>
    </w:p>
    <w:p w:rsidR="002A7BE2" w:rsidRPr="006C7DFA" w:rsidRDefault="002A7BE2" w:rsidP="00212757">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t>Najviše realizovanih sredst</w:t>
      </w:r>
      <w:r w:rsidR="00860BFC" w:rsidRPr="006C7DFA">
        <w:rPr>
          <w:rFonts w:asciiTheme="majorHAnsi" w:hAnsiTheme="majorHAnsi"/>
          <w:lang w:val="bs-Latn-BA"/>
        </w:rPr>
        <w:t>a</w:t>
      </w:r>
      <w:r w:rsidRPr="006C7DFA">
        <w:rPr>
          <w:rFonts w:asciiTheme="majorHAnsi" w:hAnsiTheme="majorHAnsi"/>
          <w:lang w:val="bs-Latn-BA"/>
        </w:rPr>
        <w:t>va u 2017. godin</w:t>
      </w:r>
      <w:r w:rsidR="00CE3F06" w:rsidRPr="006C7DFA">
        <w:rPr>
          <w:rFonts w:asciiTheme="majorHAnsi" w:hAnsiTheme="majorHAnsi"/>
          <w:lang w:val="bs-Latn-BA"/>
        </w:rPr>
        <w:t>i</w:t>
      </w:r>
      <w:r w:rsidRPr="006C7DFA">
        <w:rPr>
          <w:rFonts w:asciiTheme="majorHAnsi" w:hAnsiTheme="majorHAnsi"/>
          <w:lang w:val="bs-Latn-BA"/>
        </w:rPr>
        <w:t xml:space="preserve"> je u okviru Strateškog cilja</w:t>
      </w:r>
      <w:r w:rsidR="00EC13B6" w:rsidRPr="006C7DFA">
        <w:rPr>
          <w:rFonts w:asciiTheme="majorHAnsi" w:hAnsiTheme="majorHAnsi"/>
          <w:lang w:val="bs-Latn-BA"/>
        </w:rPr>
        <w:t xml:space="preserve"> </w:t>
      </w:r>
      <w:r w:rsidRPr="006C7DFA">
        <w:rPr>
          <w:rFonts w:asciiTheme="majorHAnsi" w:hAnsiTheme="majorHAnsi"/>
          <w:lang w:val="bs-Latn-BA"/>
        </w:rPr>
        <w:t>2: Uspostaviti efikasne sisteme upravljanja razvojem ljudskih potencijala i tržišta rada, u cilju povećanja za</w:t>
      </w:r>
      <w:r w:rsidR="005A47FD" w:rsidRPr="006C7DFA">
        <w:rPr>
          <w:rFonts w:asciiTheme="majorHAnsi" w:hAnsiTheme="majorHAnsi"/>
          <w:lang w:val="bs-Latn-BA"/>
        </w:rPr>
        <w:t xml:space="preserve">pošljavanja (društveni razvoj) </w:t>
      </w:r>
      <w:r w:rsidRPr="006C7DFA">
        <w:rPr>
          <w:rFonts w:asciiTheme="majorHAnsi" w:hAnsiTheme="majorHAnsi"/>
          <w:lang w:val="bs-Latn-BA"/>
        </w:rPr>
        <w:t>u iznosu od 2.891.290 KM od čega je 2.886.920 KM realizovala JU Služba za zapošljavanje T</w:t>
      </w:r>
      <w:r w:rsidR="005A47FD" w:rsidRPr="006C7DFA">
        <w:rPr>
          <w:rFonts w:asciiTheme="majorHAnsi" w:hAnsiTheme="majorHAnsi"/>
          <w:lang w:val="bs-Latn-BA"/>
        </w:rPr>
        <w:t>uzlanskog kantona</w:t>
      </w:r>
      <w:r w:rsidRPr="006C7DFA">
        <w:rPr>
          <w:rFonts w:asciiTheme="majorHAnsi" w:hAnsiTheme="majorHAnsi"/>
          <w:lang w:val="bs-Latn-BA"/>
        </w:rPr>
        <w:t xml:space="preserve"> za projekte vezane za zapošljavanje u okviru kojih je zaposleno 1</w:t>
      </w:r>
      <w:r w:rsidR="00860BFC" w:rsidRPr="006C7DFA">
        <w:rPr>
          <w:rFonts w:asciiTheme="majorHAnsi" w:hAnsiTheme="majorHAnsi"/>
          <w:lang w:val="bs-Latn-BA"/>
        </w:rPr>
        <w:t>.</w:t>
      </w:r>
      <w:r w:rsidRPr="006C7DFA">
        <w:rPr>
          <w:rFonts w:asciiTheme="majorHAnsi" w:hAnsiTheme="majorHAnsi"/>
          <w:lang w:val="bs-Latn-BA"/>
        </w:rPr>
        <w:t>230 osoba.</w:t>
      </w:r>
    </w:p>
    <w:p w:rsidR="00E51F0F" w:rsidRPr="006C7DFA" w:rsidRDefault="00E51F0F" w:rsidP="00212757">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t>Najzančajniji projekti koji su obuhvaćeni Strategijom razvoja Tuzlanskog kantona su vezani za infrastrukturu i okoliš kao što su: Međunarodni aerodrom Tuzla – uspostava regionalnog cargo centra sa airparkom-I faza i Izgradnja, adaptacija, opremanje i vanjsko uređenje Kampusa Univerziteta u Tuzli čija je implementacija dijelom započeta dok veoma važni projekti: „Izgradnja autoceste Orašje–Tuzla–Žepče“ kao tzv.Y krak koridora Vc, Opremanje Centra urgentne medicine pri JZU UKC Tuzla i izgradnja javne garaže i Zaštita akumulacije Modrac još nije započeta.</w:t>
      </w:r>
    </w:p>
    <w:p w:rsidR="00A76C49" w:rsidRPr="006C7DFA" w:rsidRDefault="00A76C49" w:rsidP="00212757">
      <w:pPr>
        <w:autoSpaceDE w:val="0"/>
        <w:autoSpaceDN w:val="0"/>
        <w:adjustRightInd w:val="0"/>
        <w:spacing w:after="120" w:line="276" w:lineRule="auto"/>
        <w:jc w:val="both"/>
        <w:rPr>
          <w:rFonts w:asciiTheme="majorHAnsi" w:hAnsiTheme="majorHAnsi"/>
          <w:lang w:val="bs-Latn-BA"/>
        </w:rPr>
      </w:pPr>
    </w:p>
    <w:p w:rsidR="00AB2F38" w:rsidRPr="006C7DFA" w:rsidRDefault="00AB2F38" w:rsidP="00AB2F38">
      <w:pPr>
        <w:pStyle w:val="Heading1"/>
        <w:keepLines w:val="0"/>
        <w:numPr>
          <w:ilvl w:val="0"/>
          <w:numId w:val="10"/>
        </w:numPr>
        <w:spacing w:before="240" w:after="60" w:line="360" w:lineRule="auto"/>
        <w:jc w:val="both"/>
        <w:rPr>
          <w:lang w:val="bs-Latn-BA"/>
        </w:rPr>
      </w:pPr>
      <w:bookmarkStart w:id="6" w:name="_Toc528923006"/>
      <w:r w:rsidRPr="006C7DFA">
        <w:rPr>
          <w:lang w:val="bs-Latn-BA"/>
        </w:rPr>
        <w:t>S</w:t>
      </w:r>
      <w:r w:rsidR="005A47FD" w:rsidRPr="006C7DFA">
        <w:rPr>
          <w:lang w:val="bs-Latn-BA"/>
        </w:rPr>
        <w:t xml:space="preserve">ažeti pregled </w:t>
      </w:r>
      <w:r w:rsidR="008D6DA4" w:rsidRPr="006C7DFA">
        <w:rPr>
          <w:lang w:val="bs-Latn-BA"/>
        </w:rPr>
        <w:t>operativnog/</w:t>
      </w:r>
      <w:r w:rsidR="005A47FD" w:rsidRPr="006C7DFA">
        <w:rPr>
          <w:lang w:val="bs-Latn-BA"/>
        </w:rPr>
        <w:t>akcionog</w:t>
      </w:r>
      <w:r w:rsidRPr="006C7DFA">
        <w:rPr>
          <w:lang w:val="bs-Latn-BA"/>
        </w:rPr>
        <w:t xml:space="preserve"> plana za 201</w:t>
      </w:r>
      <w:r w:rsidR="00CE3F06" w:rsidRPr="006C7DFA">
        <w:rPr>
          <w:lang w:val="bs-Latn-BA"/>
        </w:rPr>
        <w:t>9</w:t>
      </w:r>
      <w:r w:rsidR="005F6D18" w:rsidRPr="006C7DFA">
        <w:rPr>
          <w:lang w:val="bs-Latn-BA"/>
        </w:rPr>
        <w:t>.</w:t>
      </w:r>
      <w:r w:rsidRPr="006C7DFA">
        <w:rPr>
          <w:lang w:val="bs-Latn-BA"/>
        </w:rPr>
        <w:t>-202</w:t>
      </w:r>
      <w:r w:rsidR="00CE3F06" w:rsidRPr="006C7DFA">
        <w:rPr>
          <w:lang w:val="bs-Latn-BA"/>
        </w:rPr>
        <w:t>1</w:t>
      </w:r>
      <w:bookmarkEnd w:id="6"/>
      <w:r w:rsidR="005F6D18" w:rsidRPr="006C7DFA">
        <w:rPr>
          <w:lang w:val="bs-Latn-BA"/>
        </w:rPr>
        <w:t>.</w:t>
      </w:r>
    </w:p>
    <w:p w:rsidR="00C33937" w:rsidRPr="006C7DFA" w:rsidRDefault="00C33937" w:rsidP="00084580">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t xml:space="preserve">Prijedlog </w:t>
      </w:r>
      <w:r w:rsidRPr="006C7DFA">
        <w:rPr>
          <w:rFonts w:asciiTheme="majorHAnsi" w:hAnsiTheme="majorHAnsi"/>
          <w:color w:val="333333"/>
          <w:lang w:val="bs-Latn-BA"/>
        </w:rPr>
        <w:t>Operativnog/Akcionog plana sa finansijskim ok</w:t>
      </w:r>
      <w:r w:rsidR="00182732" w:rsidRPr="006C7DFA">
        <w:rPr>
          <w:rFonts w:asciiTheme="majorHAnsi" w:hAnsiTheme="majorHAnsi"/>
          <w:color w:val="333333"/>
          <w:lang w:val="bs-Latn-BA"/>
        </w:rPr>
        <w:t>v</w:t>
      </w:r>
      <w:r w:rsidRPr="006C7DFA">
        <w:rPr>
          <w:rFonts w:asciiTheme="majorHAnsi" w:hAnsiTheme="majorHAnsi"/>
          <w:color w:val="333333"/>
          <w:lang w:val="bs-Latn-BA"/>
        </w:rPr>
        <w:t xml:space="preserve">irom za </w:t>
      </w:r>
      <w:r w:rsidR="00182732" w:rsidRPr="006C7DFA">
        <w:rPr>
          <w:rFonts w:asciiTheme="majorHAnsi" w:hAnsiTheme="majorHAnsi"/>
          <w:color w:val="333333"/>
          <w:lang w:val="bs-Latn-BA"/>
        </w:rPr>
        <w:t>implementaciju</w:t>
      </w:r>
      <w:r w:rsidRPr="006C7DFA">
        <w:rPr>
          <w:rFonts w:asciiTheme="majorHAnsi" w:hAnsiTheme="majorHAnsi"/>
          <w:color w:val="333333"/>
          <w:lang w:val="bs-Latn-BA"/>
        </w:rPr>
        <w:t xml:space="preserve"> Strategije razvoja</w:t>
      </w:r>
      <w:r w:rsidRPr="006C7DFA">
        <w:rPr>
          <w:rFonts w:asciiTheme="majorHAnsi" w:hAnsiTheme="majorHAnsi"/>
          <w:lang w:val="bs-Latn-BA"/>
        </w:rPr>
        <w:t xml:space="preserve">  razrađen je na ciljeve, prioritete, mjere i aktivnosti. U okviru svakog cilja utvrđeni su  određeni prioriteti i mjere sa definisanim aktivnostima, očekivanim rezultatima, nosiocima aktivnosti, periodom implementacije i izvorom finansiranja.</w:t>
      </w:r>
    </w:p>
    <w:p w:rsidR="00C33937" w:rsidRPr="006C7DFA" w:rsidRDefault="00C33937" w:rsidP="00084580">
      <w:pPr>
        <w:autoSpaceDE w:val="0"/>
        <w:autoSpaceDN w:val="0"/>
        <w:adjustRightInd w:val="0"/>
        <w:spacing w:after="120" w:line="276" w:lineRule="auto"/>
        <w:jc w:val="both"/>
        <w:rPr>
          <w:rFonts w:asciiTheme="majorHAnsi" w:hAnsiTheme="majorHAnsi"/>
          <w:lang w:val="bs-Latn-BA"/>
        </w:rPr>
      </w:pPr>
      <w:r w:rsidRPr="001A084E">
        <w:rPr>
          <w:rFonts w:asciiTheme="majorHAnsi" w:hAnsiTheme="majorHAnsi"/>
          <w:lang w:val="bs-Latn-BA"/>
        </w:rPr>
        <w:t xml:space="preserve">U </w:t>
      </w:r>
      <w:r w:rsidR="00182732" w:rsidRPr="001A084E">
        <w:rPr>
          <w:rFonts w:asciiTheme="majorHAnsi" w:hAnsiTheme="majorHAnsi"/>
          <w:lang w:val="bs-Latn-BA"/>
        </w:rPr>
        <w:t>akcionom</w:t>
      </w:r>
      <w:r w:rsidRPr="001A084E">
        <w:rPr>
          <w:rFonts w:asciiTheme="majorHAnsi" w:hAnsiTheme="majorHAnsi"/>
          <w:lang w:val="bs-Latn-BA"/>
        </w:rPr>
        <w:t xml:space="preserve"> planu 201</w:t>
      </w:r>
      <w:r w:rsidR="00CE3F06" w:rsidRPr="001A084E">
        <w:rPr>
          <w:rFonts w:asciiTheme="majorHAnsi" w:hAnsiTheme="majorHAnsi"/>
          <w:lang w:val="bs-Latn-BA"/>
        </w:rPr>
        <w:t>9</w:t>
      </w:r>
      <w:r w:rsidR="00182732" w:rsidRPr="001A084E">
        <w:rPr>
          <w:rFonts w:asciiTheme="majorHAnsi" w:hAnsiTheme="majorHAnsi"/>
          <w:lang w:val="bs-Latn-BA"/>
        </w:rPr>
        <w:t>.</w:t>
      </w:r>
      <w:r w:rsidRPr="001A084E">
        <w:rPr>
          <w:rFonts w:asciiTheme="majorHAnsi" w:hAnsiTheme="majorHAnsi"/>
          <w:lang w:val="bs-Latn-BA"/>
        </w:rPr>
        <w:t>-202</w:t>
      </w:r>
      <w:r w:rsidR="00CE3F06" w:rsidRPr="001A084E">
        <w:rPr>
          <w:rFonts w:asciiTheme="majorHAnsi" w:hAnsiTheme="majorHAnsi"/>
          <w:lang w:val="bs-Latn-BA"/>
        </w:rPr>
        <w:t>1</w:t>
      </w:r>
      <w:r w:rsidR="00182732" w:rsidRPr="001A084E">
        <w:rPr>
          <w:rFonts w:asciiTheme="majorHAnsi" w:hAnsiTheme="majorHAnsi"/>
          <w:lang w:val="bs-Latn-BA"/>
        </w:rPr>
        <w:t>. godina</w:t>
      </w:r>
      <w:r w:rsidRPr="001A084E">
        <w:rPr>
          <w:rFonts w:asciiTheme="majorHAnsi" w:hAnsiTheme="majorHAnsi"/>
          <w:lang w:val="bs-Latn-BA"/>
        </w:rPr>
        <w:t xml:space="preserve"> obuhvaćeno je provođenje ukupno </w:t>
      </w:r>
      <w:r w:rsidR="00B1455A" w:rsidRPr="001A084E">
        <w:rPr>
          <w:rFonts w:asciiTheme="majorHAnsi" w:hAnsiTheme="majorHAnsi"/>
          <w:lang w:val="bs-Latn-BA"/>
        </w:rPr>
        <w:t>5</w:t>
      </w:r>
      <w:r w:rsidR="001A084E" w:rsidRPr="001A084E">
        <w:rPr>
          <w:rFonts w:asciiTheme="majorHAnsi" w:hAnsiTheme="majorHAnsi"/>
          <w:lang w:val="bs-Latn-BA"/>
        </w:rPr>
        <w:t>1</w:t>
      </w:r>
      <w:r w:rsidRPr="001A084E">
        <w:rPr>
          <w:rFonts w:asciiTheme="majorHAnsi" w:hAnsiTheme="majorHAnsi"/>
          <w:lang w:val="bs-Latn-BA"/>
        </w:rPr>
        <w:t xml:space="preserve"> mjer</w:t>
      </w:r>
      <w:r w:rsidR="008D0F36" w:rsidRPr="001A084E">
        <w:rPr>
          <w:rFonts w:asciiTheme="majorHAnsi" w:hAnsiTheme="majorHAnsi"/>
          <w:lang w:val="bs-Latn-BA"/>
        </w:rPr>
        <w:t>e</w:t>
      </w:r>
      <w:r w:rsidRPr="001A084E">
        <w:rPr>
          <w:rFonts w:asciiTheme="majorHAnsi" w:hAnsiTheme="majorHAnsi"/>
          <w:lang w:val="bs-Latn-BA"/>
        </w:rPr>
        <w:t xml:space="preserve"> sa </w:t>
      </w:r>
      <w:r w:rsidR="008D0F36" w:rsidRPr="001A084E">
        <w:rPr>
          <w:rFonts w:asciiTheme="majorHAnsi" w:hAnsiTheme="majorHAnsi"/>
          <w:lang w:val="bs-Latn-BA"/>
        </w:rPr>
        <w:t>1</w:t>
      </w:r>
      <w:r w:rsidR="005B5A20">
        <w:rPr>
          <w:rFonts w:asciiTheme="majorHAnsi" w:hAnsiTheme="majorHAnsi"/>
          <w:lang w:val="bs-Latn-BA"/>
        </w:rPr>
        <w:t>63</w:t>
      </w:r>
      <w:r w:rsidRPr="001A084E">
        <w:rPr>
          <w:rFonts w:asciiTheme="majorHAnsi" w:hAnsiTheme="majorHAnsi"/>
          <w:lang w:val="bs-Latn-BA"/>
        </w:rPr>
        <w:t xml:space="preserve"> razvojnih projekata od čega imamo </w:t>
      </w:r>
      <w:r w:rsidR="008D0F36" w:rsidRPr="001A084E">
        <w:rPr>
          <w:rFonts w:asciiTheme="majorHAnsi" w:hAnsiTheme="majorHAnsi"/>
          <w:lang w:val="bs-Latn-BA"/>
        </w:rPr>
        <w:t>1</w:t>
      </w:r>
      <w:r w:rsidR="005F1882" w:rsidRPr="001A084E">
        <w:rPr>
          <w:rFonts w:asciiTheme="majorHAnsi" w:hAnsiTheme="majorHAnsi"/>
          <w:lang w:val="bs-Latn-BA"/>
        </w:rPr>
        <w:t>7</w:t>
      </w:r>
      <w:r w:rsidRPr="001A084E">
        <w:rPr>
          <w:rFonts w:asciiTheme="majorHAnsi" w:hAnsiTheme="majorHAnsi"/>
          <w:lang w:val="bs-Latn-BA"/>
        </w:rPr>
        <w:t xml:space="preserve"> razvojnih mjera u okviru kojih nisu planiran</w:t>
      </w:r>
      <w:r w:rsidR="00182732" w:rsidRPr="001A084E">
        <w:rPr>
          <w:rFonts w:asciiTheme="majorHAnsi" w:hAnsiTheme="majorHAnsi"/>
          <w:lang w:val="bs-Latn-BA"/>
        </w:rPr>
        <w:t>i</w:t>
      </w:r>
      <w:r w:rsidRPr="001A084E">
        <w:rPr>
          <w:rFonts w:asciiTheme="majorHAnsi" w:hAnsiTheme="majorHAnsi"/>
          <w:lang w:val="bs-Latn-BA"/>
        </w:rPr>
        <w:t xml:space="preserve"> pojedinačni razvojni projekti te ih možemo nazvati opšte ili „samostalne“.</w:t>
      </w:r>
      <w:r w:rsidR="00740AE0" w:rsidRPr="001A084E">
        <w:rPr>
          <w:rFonts w:asciiTheme="majorHAnsi" w:hAnsiTheme="majorHAnsi"/>
          <w:lang w:val="bs-Latn-BA"/>
        </w:rPr>
        <w:t xml:space="preserve"> U </w:t>
      </w:r>
      <w:r w:rsidR="005F6D18" w:rsidRPr="001A084E">
        <w:rPr>
          <w:rFonts w:asciiTheme="majorHAnsi" w:hAnsiTheme="majorHAnsi"/>
          <w:lang w:val="bs-Latn-BA"/>
        </w:rPr>
        <w:t>t</w:t>
      </w:r>
      <w:r w:rsidR="00740AE0" w:rsidRPr="001A084E">
        <w:rPr>
          <w:rFonts w:asciiTheme="majorHAnsi" w:hAnsiTheme="majorHAnsi"/>
          <w:lang w:val="bs-Latn-BA"/>
        </w:rPr>
        <w:t xml:space="preserve">abeli </w:t>
      </w:r>
      <w:r w:rsidR="00182732" w:rsidRPr="001A084E">
        <w:rPr>
          <w:rFonts w:asciiTheme="majorHAnsi" w:hAnsiTheme="majorHAnsi"/>
          <w:lang w:val="bs-Latn-BA"/>
        </w:rPr>
        <w:t>4</w:t>
      </w:r>
      <w:r w:rsidR="006F0E15" w:rsidRPr="001A084E">
        <w:rPr>
          <w:rFonts w:asciiTheme="majorHAnsi" w:hAnsiTheme="majorHAnsi"/>
          <w:lang w:val="bs-Latn-BA"/>
        </w:rPr>
        <w:t xml:space="preserve"> je vidljivo da je najviše projekata pla</w:t>
      </w:r>
      <w:r w:rsidR="00182732" w:rsidRPr="001A084E">
        <w:rPr>
          <w:rFonts w:asciiTheme="majorHAnsi" w:hAnsiTheme="majorHAnsi"/>
          <w:lang w:val="bs-Latn-BA"/>
        </w:rPr>
        <w:t>nirano u okviru Strateškog cilj</w:t>
      </w:r>
      <w:r w:rsidR="006F0E15" w:rsidRPr="001A084E">
        <w:rPr>
          <w:rFonts w:asciiTheme="majorHAnsi" w:hAnsiTheme="majorHAnsi"/>
          <w:lang w:val="bs-Latn-BA"/>
        </w:rPr>
        <w:t xml:space="preserve">a </w:t>
      </w:r>
      <w:r w:rsidR="008D0F36" w:rsidRPr="001A084E">
        <w:rPr>
          <w:rFonts w:asciiTheme="majorHAnsi" w:hAnsiTheme="majorHAnsi"/>
          <w:lang w:val="bs-Latn-BA"/>
        </w:rPr>
        <w:t>3, a zatim u okviru</w:t>
      </w:r>
      <w:r w:rsidR="006F0E15" w:rsidRPr="001A084E">
        <w:rPr>
          <w:rFonts w:asciiTheme="majorHAnsi" w:hAnsiTheme="majorHAnsi"/>
          <w:lang w:val="bs-Latn-BA"/>
        </w:rPr>
        <w:t xml:space="preserve"> Strateškog cilja </w:t>
      </w:r>
      <w:r w:rsidR="008D0F36" w:rsidRPr="001A084E">
        <w:rPr>
          <w:rFonts w:asciiTheme="majorHAnsi" w:hAnsiTheme="majorHAnsi"/>
          <w:lang w:val="bs-Latn-BA"/>
        </w:rPr>
        <w:t xml:space="preserve">2 i Strateškog cilja </w:t>
      </w:r>
      <w:r w:rsidR="006F0E15" w:rsidRPr="001A084E">
        <w:rPr>
          <w:rFonts w:asciiTheme="majorHAnsi" w:hAnsiTheme="majorHAnsi"/>
          <w:lang w:val="bs-Latn-BA"/>
        </w:rPr>
        <w:t xml:space="preserve">5, dok je najmanje projekata planirano u </w:t>
      </w:r>
      <w:r w:rsidR="00182732" w:rsidRPr="001A084E">
        <w:rPr>
          <w:rFonts w:asciiTheme="majorHAnsi" w:hAnsiTheme="majorHAnsi"/>
          <w:lang w:val="bs-Latn-BA"/>
        </w:rPr>
        <w:t>okviru St</w:t>
      </w:r>
      <w:r w:rsidR="006F0E15" w:rsidRPr="001A084E">
        <w:rPr>
          <w:rFonts w:asciiTheme="majorHAnsi" w:hAnsiTheme="majorHAnsi"/>
          <w:lang w:val="bs-Latn-BA"/>
        </w:rPr>
        <w:t>r</w:t>
      </w:r>
      <w:r w:rsidR="00182732" w:rsidRPr="001A084E">
        <w:rPr>
          <w:rFonts w:asciiTheme="majorHAnsi" w:hAnsiTheme="majorHAnsi"/>
          <w:lang w:val="bs-Latn-BA"/>
        </w:rPr>
        <w:t>a</w:t>
      </w:r>
      <w:r w:rsidR="006F0E15" w:rsidRPr="001A084E">
        <w:rPr>
          <w:rFonts w:asciiTheme="majorHAnsi" w:hAnsiTheme="majorHAnsi"/>
          <w:lang w:val="bs-Latn-BA"/>
        </w:rPr>
        <w:t xml:space="preserve">teškog cilja </w:t>
      </w:r>
      <w:r w:rsidR="005F1882" w:rsidRPr="001A084E">
        <w:rPr>
          <w:rFonts w:asciiTheme="majorHAnsi" w:hAnsiTheme="majorHAnsi"/>
          <w:lang w:val="bs-Latn-BA"/>
        </w:rPr>
        <w:t>4</w:t>
      </w:r>
      <w:r w:rsidR="006F0E15" w:rsidRPr="001A084E">
        <w:rPr>
          <w:rFonts w:asciiTheme="majorHAnsi" w:hAnsiTheme="majorHAnsi"/>
          <w:lang w:val="bs-Latn-BA"/>
        </w:rPr>
        <w:t xml:space="preserve"> i Strateškog cilja </w:t>
      </w:r>
      <w:r w:rsidR="005F1882" w:rsidRPr="001A084E">
        <w:rPr>
          <w:rFonts w:asciiTheme="majorHAnsi" w:hAnsiTheme="majorHAnsi"/>
          <w:lang w:val="bs-Latn-BA"/>
        </w:rPr>
        <w:t>1</w:t>
      </w:r>
      <w:r w:rsidR="006F0E15" w:rsidRPr="001A084E">
        <w:rPr>
          <w:rFonts w:asciiTheme="majorHAnsi" w:hAnsiTheme="majorHAnsi"/>
          <w:lang w:val="bs-Latn-BA"/>
        </w:rPr>
        <w:t>.</w:t>
      </w:r>
    </w:p>
    <w:p w:rsidR="00A76C49" w:rsidRPr="006C7DFA" w:rsidRDefault="00A76C49" w:rsidP="00084580">
      <w:pPr>
        <w:autoSpaceDE w:val="0"/>
        <w:autoSpaceDN w:val="0"/>
        <w:adjustRightInd w:val="0"/>
        <w:spacing w:after="120" w:line="276" w:lineRule="auto"/>
        <w:jc w:val="both"/>
        <w:rPr>
          <w:rFonts w:asciiTheme="majorHAnsi" w:hAnsiTheme="majorHAnsi"/>
          <w:lang w:val="bs-Latn-BA"/>
        </w:rPr>
      </w:pPr>
    </w:p>
    <w:p w:rsidR="009F7EDD" w:rsidRPr="006C7DFA" w:rsidRDefault="009F7EDD" w:rsidP="009F7EDD">
      <w:pPr>
        <w:pStyle w:val="Caption"/>
        <w:keepNext/>
        <w:spacing w:after="0"/>
        <w:jc w:val="center"/>
        <w:rPr>
          <w:rFonts w:asciiTheme="majorHAnsi" w:hAnsiTheme="majorHAnsi"/>
          <w:sz w:val="18"/>
          <w:szCs w:val="18"/>
          <w:lang w:val="bs-Latn-BA"/>
        </w:rPr>
      </w:pPr>
      <w:bookmarkStart w:id="7" w:name="_Toc528923129"/>
      <w:r w:rsidRPr="001A084E">
        <w:rPr>
          <w:rFonts w:asciiTheme="majorHAnsi" w:hAnsiTheme="majorHAnsi"/>
          <w:sz w:val="18"/>
          <w:szCs w:val="18"/>
          <w:lang w:val="bs-Latn-BA"/>
        </w:rPr>
        <w:lastRenderedPageBreak/>
        <w:t xml:space="preserve">Tabela </w:t>
      </w:r>
      <w:r w:rsidR="009F0446" w:rsidRPr="001A084E">
        <w:rPr>
          <w:rFonts w:asciiTheme="majorHAnsi" w:hAnsiTheme="majorHAnsi"/>
          <w:sz w:val="18"/>
          <w:szCs w:val="18"/>
          <w:lang w:val="bs-Latn-BA"/>
        </w:rPr>
        <w:fldChar w:fldCharType="begin"/>
      </w:r>
      <w:r w:rsidRPr="001A084E">
        <w:rPr>
          <w:rFonts w:asciiTheme="majorHAnsi" w:hAnsiTheme="majorHAnsi"/>
          <w:sz w:val="18"/>
          <w:szCs w:val="18"/>
          <w:lang w:val="bs-Latn-BA"/>
        </w:rPr>
        <w:instrText xml:space="preserve"> SEQ Tabela \* ARABIC </w:instrText>
      </w:r>
      <w:r w:rsidR="009F0446" w:rsidRPr="001A084E">
        <w:rPr>
          <w:rFonts w:asciiTheme="majorHAnsi" w:hAnsiTheme="majorHAnsi"/>
          <w:sz w:val="18"/>
          <w:szCs w:val="18"/>
          <w:lang w:val="bs-Latn-BA"/>
        </w:rPr>
        <w:fldChar w:fldCharType="separate"/>
      </w:r>
      <w:r w:rsidRPr="001A084E">
        <w:rPr>
          <w:rFonts w:asciiTheme="majorHAnsi" w:hAnsiTheme="majorHAnsi"/>
          <w:noProof/>
          <w:sz w:val="18"/>
          <w:szCs w:val="18"/>
          <w:lang w:val="bs-Latn-BA"/>
        </w:rPr>
        <w:t>4</w:t>
      </w:r>
      <w:r w:rsidR="009F0446" w:rsidRPr="001A084E">
        <w:rPr>
          <w:rFonts w:asciiTheme="majorHAnsi" w:hAnsiTheme="majorHAnsi"/>
          <w:sz w:val="18"/>
          <w:szCs w:val="18"/>
          <w:lang w:val="bs-Latn-BA"/>
        </w:rPr>
        <w:fldChar w:fldCharType="end"/>
      </w:r>
      <w:r w:rsidRPr="001A084E">
        <w:rPr>
          <w:rFonts w:asciiTheme="majorHAnsi" w:hAnsiTheme="majorHAnsi"/>
          <w:sz w:val="18"/>
          <w:szCs w:val="18"/>
          <w:lang w:val="bs-Latn-BA"/>
        </w:rPr>
        <w:t>. Pregled po projektima i mjerama</w:t>
      </w:r>
      <w:bookmarkEnd w:id="7"/>
    </w:p>
    <w:tbl>
      <w:tblPr>
        <w:tblStyle w:val="MediumShading1-Accent11"/>
        <w:tblW w:w="9883" w:type="dxa"/>
        <w:tblBorders>
          <w:insideV w:val="dotted" w:sz="4" w:space="0" w:color="4F81BD" w:themeColor="accent1"/>
        </w:tblBorders>
        <w:tblLook w:val="04A0"/>
      </w:tblPr>
      <w:tblGrid>
        <w:gridCol w:w="6701"/>
        <w:gridCol w:w="1670"/>
        <w:gridCol w:w="1512"/>
      </w:tblGrid>
      <w:tr w:rsidR="004E36C6" w:rsidRPr="006C7DFA" w:rsidTr="004E36C6">
        <w:trPr>
          <w:cnfStyle w:val="100000000000"/>
          <w:trHeight w:val="421"/>
        </w:trPr>
        <w:tc>
          <w:tcPr>
            <w:cnfStyle w:val="001000000000"/>
            <w:tcW w:w="6701" w:type="dxa"/>
            <w:vMerge w:val="restart"/>
            <w:tcBorders>
              <w:top w:val="none" w:sz="0" w:space="0" w:color="auto"/>
              <w:left w:val="none" w:sz="0" w:space="0" w:color="auto"/>
              <w:bottom w:val="none" w:sz="0" w:space="0" w:color="auto"/>
              <w:right w:val="none" w:sz="0" w:space="0" w:color="auto"/>
            </w:tcBorders>
            <w:vAlign w:val="center"/>
            <w:hideMark/>
          </w:tcPr>
          <w:p w:rsidR="008D0F36" w:rsidRPr="006C7DFA" w:rsidRDefault="008D0F36" w:rsidP="008D0F36">
            <w:pPr>
              <w:jc w:val="center"/>
              <w:rPr>
                <w:rFonts w:asciiTheme="majorHAnsi" w:eastAsia="Times New Roman" w:hAnsiTheme="majorHAnsi"/>
                <w:b w:val="0"/>
                <w:bCs w:val="0"/>
                <w:color w:val="auto"/>
                <w:sz w:val="18"/>
                <w:szCs w:val="18"/>
                <w:lang w:val="bs-Latn-BA"/>
              </w:rPr>
            </w:pPr>
            <w:r w:rsidRPr="006C7DFA">
              <w:rPr>
                <w:rFonts w:asciiTheme="majorHAnsi" w:eastAsia="Times New Roman" w:hAnsiTheme="majorHAnsi"/>
                <w:b w:val="0"/>
                <w:bCs w:val="0"/>
                <w:color w:val="auto"/>
                <w:sz w:val="18"/>
                <w:szCs w:val="18"/>
                <w:lang w:val="bs-Latn-BA"/>
              </w:rPr>
              <w:t>Strateški cilj /Prioritetni cilj</w:t>
            </w:r>
          </w:p>
        </w:tc>
        <w:tc>
          <w:tcPr>
            <w:tcW w:w="1670" w:type="dxa"/>
            <w:vMerge w:val="restart"/>
            <w:tcBorders>
              <w:top w:val="none" w:sz="0" w:space="0" w:color="auto"/>
              <w:left w:val="none" w:sz="0" w:space="0" w:color="auto"/>
              <w:bottom w:val="none" w:sz="0" w:space="0" w:color="auto"/>
              <w:right w:val="none" w:sz="0" w:space="0" w:color="auto"/>
            </w:tcBorders>
            <w:vAlign w:val="center"/>
            <w:hideMark/>
          </w:tcPr>
          <w:p w:rsidR="008D0F36" w:rsidRPr="006C7DFA" w:rsidRDefault="008D0F36" w:rsidP="008D0F36">
            <w:pPr>
              <w:jc w:val="center"/>
              <w:cnfStyle w:val="100000000000"/>
              <w:rPr>
                <w:rFonts w:asciiTheme="majorHAnsi" w:eastAsia="Times New Roman" w:hAnsiTheme="majorHAnsi"/>
                <w:b w:val="0"/>
                <w:bCs w:val="0"/>
                <w:color w:val="auto"/>
                <w:sz w:val="18"/>
                <w:szCs w:val="18"/>
                <w:lang w:val="bs-Latn-BA"/>
              </w:rPr>
            </w:pPr>
            <w:r w:rsidRPr="006C7DFA">
              <w:rPr>
                <w:rFonts w:asciiTheme="majorHAnsi" w:eastAsia="Times New Roman" w:hAnsiTheme="majorHAnsi"/>
                <w:b w:val="0"/>
                <w:bCs w:val="0"/>
                <w:color w:val="auto"/>
                <w:sz w:val="18"/>
                <w:szCs w:val="18"/>
                <w:lang w:val="bs-Latn-BA"/>
              </w:rPr>
              <w:t>Broj samostalnih ili opštih razvojnih mjera</w:t>
            </w:r>
          </w:p>
        </w:tc>
        <w:tc>
          <w:tcPr>
            <w:tcW w:w="1512" w:type="dxa"/>
            <w:vMerge w:val="restart"/>
            <w:tcBorders>
              <w:top w:val="none" w:sz="0" w:space="0" w:color="auto"/>
              <w:left w:val="none" w:sz="0" w:space="0" w:color="auto"/>
              <w:bottom w:val="none" w:sz="0" w:space="0" w:color="auto"/>
              <w:right w:val="none" w:sz="0" w:space="0" w:color="auto"/>
            </w:tcBorders>
            <w:vAlign w:val="center"/>
            <w:hideMark/>
          </w:tcPr>
          <w:p w:rsidR="008D0F36" w:rsidRPr="006C7DFA" w:rsidRDefault="008D0F36" w:rsidP="008D0F36">
            <w:pPr>
              <w:jc w:val="center"/>
              <w:cnfStyle w:val="100000000000"/>
              <w:rPr>
                <w:rFonts w:asciiTheme="majorHAnsi" w:eastAsia="Times New Roman" w:hAnsiTheme="majorHAnsi"/>
                <w:b w:val="0"/>
                <w:bCs w:val="0"/>
                <w:color w:val="auto"/>
                <w:sz w:val="18"/>
                <w:szCs w:val="18"/>
                <w:lang w:val="bs-Latn-BA"/>
              </w:rPr>
            </w:pPr>
            <w:r w:rsidRPr="006C7DFA">
              <w:rPr>
                <w:rFonts w:asciiTheme="majorHAnsi" w:eastAsia="Times New Roman" w:hAnsiTheme="majorHAnsi"/>
                <w:b w:val="0"/>
                <w:bCs w:val="0"/>
                <w:color w:val="auto"/>
                <w:sz w:val="18"/>
                <w:szCs w:val="18"/>
                <w:lang w:val="bs-Latn-BA"/>
              </w:rPr>
              <w:t>Broj razvojnih projekata</w:t>
            </w:r>
          </w:p>
        </w:tc>
      </w:tr>
      <w:tr w:rsidR="004E36C6" w:rsidRPr="006C7DFA" w:rsidTr="004E36C6">
        <w:trPr>
          <w:cnfStyle w:val="000000100000"/>
          <w:trHeight w:val="376"/>
        </w:trPr>
        <w:tc>
          <w:tcPr>
            <w:cnfStyle w:val="001000000000"/>
            <w:tcW w:w="6701" w:type="dxa"/>
            <w:vMerge/>
            <w:tcBorders>
              <w:right w:val="none" w:sz="0" w:space="0" w:color="auto"/>
            </w:tcBorders>
            <w:vAlign w:val="center"/>
            <w:hideMark/>
          </w:tcPr>
          <w:p w:rsidR="008D0F36" w:rsidRPr="006C7DFA" w:rsidRDefault="008D0F36" w:rsidP="008D0F36">
            <w:pPr>
              <w:rPr>
                <w:rFonts w:asciiTheme="majorHAnsi" w:eastAsia="Times New Roman" w:hAnsiTheme="majorHAnsi"/>
                <w:b w:val="0"/>
                <w:bCs w:val="0"/>
                <w:sz w:val="18"/>
                <w:szCs w:val="18"/>
                <w:lang w:val="bs-Latn-BA"/>
              </w:rPr>
            </w:pPr>
          </w:p>
        </w:tc>
        <w:tc>
          <w:tcPr>
            <w:tcW w:w="1670" w:type="dxa"/>
            <w:vMerge/>
            <w:tcBorders>
              <w:left w:val="none" w:sz="0" w:space="0" w:color="auto"/>
              <w:right w:val="none" w:sz="0" w:space="0" w:color="auto"/>
            </w:tcBorders>
            <w:vAlign w:val="center"/>
            <w:hideMark/>
          </w:tcPr>
          <w:p w:rsidR="008D0F36" w:rsidRPr="006C7DFA" w:rsidRDefault="008D0F36" w:rsidP="008D0F36">
            <w:pPr>
              <w:cnfStyle w:val="000000100000"/>
              <w:rPr>
                <w:rFonts w:asciiTheme="majorHAnsi" w:eastAsia="Times New Roman" w:hAnsiTheme="majorHAnsi"/>
                <w:bCs/>
                <w:sz w:val="18"/>
                <w:szCs w:val="18"/>
                <w:lang w:val="bs-Latn-BA"/>
              </w:rPr>
            </w:pPr>
          </w:p>
        </w:tc>
        <w:tc>
          <w:tcPr>
            <w:tcW w:w="1512" w:type="dxa"/>
            <w:vMerge/>
            <w:tcBorders>
              <w:left w:val="none" w:sz="0" w:space="0" w:color="auto"/>
            </w:tcBorders>
            <w:vAlign w:val="center"/>
            <w:hideMark/>
          </w:tcPr>
          <w:p w:rsidR="008D0F36" w:rsidRPr="006C7DFA" w:rsidRDefault="008D0F36" w:rsidP="008D0F36">
            <w:pPr>
              <w:cnfStyle w:val="000000100000"/>
              <w:rPr>
                <w:rFonts w:asciiTheme="majorHAnsi" w:eastAsia="Times New Roman" w:hAnsiTheme="majorHAnsi"/>
                <w:bCs/>
                <w:sz w:val="18"/>
                <w:szCs w:val="18"/>
                <w:lang w:val="bs-Latn-BA"/>
              </w:rPr>
            </w:pPr>
          </w:p>
        </w:tc>
      </w:tr>
      <w:tr w:rsidR="004E36C6" w:rsidRPr="006C7DFA" w:rsidTr="004E36C6">
        <w:trPr>
          <w:cnfStyle w:val="000000010000"/>
          <w:trHeight w:val="511"/>
        </w:trPr>
        <w:tc>
          <w:tcPr>
            <w:cnfStyle w:val="001000000000"/>
            <w:tcW w:w="6701" w:type="dxa"/>
            <w:tcBorders>
              <w:right w:val="none" w:sz="0" w:space="0" w:color="auto"/>
            </w:tcBorders>
            <w:shd w:val="clear" w:color="auto" w:fill="C6D9F1" w:themeFill="text2" w:themeFillTint="33"/>
            <w:vAlign w:val="center"/>
            <w:hideMark/>
          </w:tcPr>
          <w:p w:rsidR="008D0F36" w:rsidRPr="006C7DFA" w:rsidRDefault="008D0F36" w:rsidP="008D0F36">
            <w:pPr>
              <w:rPr>
                <w:rFonts w:asciiTheme="majorHAnsi" w:eastAsia="Times New Roman" w:hAnsiTheme="majorHAnsi"/>
                <w:bCs w:val="0"/>
                <w:iCs/>
                <w:sz w:val="18"/>
                <w:szCs w:val="18"/>
                <w:lang w:val="bs-Latn-BA"/>
              </w:rPr>
            </w:pPr>
            <w:r w:rsidRPr="006C7DFA">
              <w:rPr>
                <w:rFonts w:asciiTheme="majorHAnsi" w:eastAsia="Times New Roman" w:hAnsiTheme="majorHAnsi"/>
                <w:bCs w:val="0"/>
                <w:iCs/>
                <w:sz w:val="18"/>
                <w:szCs w:val="18"/>
                <w:lang w:val="bs-Latn-BA"/>
              </w:rPr>
              <w:t>Strateški cilj 1: Osigurati stabilnost i prosperitet razvoja privrede Tuzlan</w:t>
            </w:r>
            <w:r w:rsidR="004E36C6" w:rsidRPr="006C7DFA">
              <w:rPr>
                <w:rFonts w:asciiTheme="majorHAnsi" w:eastAsia="Times New Roman" w:hAnsiTheme="majorHAnsi"/>
                <w:bCs w:val="0"/>
                <w:iCs/>
                <w:sz w:val="18"/>
                <w:szCs w:val="18"/>
                <w:lang w:val="bs-Latn-BA"/>
              </w:rPr>
              <w:t>skog kantona (ekonomski razvoj)</w:t>
            </w:r>
          </w:p>
        </w:tc>
        <w:tc>
          <w:tcPr>
            <w:tcW w:w="1670" w:type="dxa"/>
            <w:tcBorders>
              <w:left w:val="none" w:sz="0" w:space="0" w:color="auto"/>
              <w:right w:val="none" w:sz="0" w:space="0" w:color="auto"/>
            </w:tcBorders>
            <w:shd w:val="clear" w:color="auto" w:fill="C6D9F1" w:themeFill="text2" w:themeFillTint="33"/>
            <w:vAlign w:val="center"/>
            <w:hideMark/>
          </w:tcPr>
          <w:p w:rsidR="008D0F36" w:rsidRPr="006C7DFA" w:rsidRDefault="005F1882" w:rsidP="00B1455A">
            <w:pPr>
              <w:jc w:val="center"/>
              <w:cnfStyle w:val="000000010000"/>
              <w:rPr>
                <w:rFonts w:asciiTheme="majorHAnsi" w:eastAsia="Times New Roman" w:hAnsiTheme="majorHAnsi"/>
                <w:b/>
                <w:bCs/>
                <w:iCs/>
                <w:sz w:val="18"/>
                <w:szCs w:val="18"/>
                <w:lang w:val="bs-Latn-BA"/>
              </w:rPr>
            </w:pPr>
            <w:r>
              <w:rPr>
                <w:rFonts w:asciiTheme="majorHAnsi" w:eastAsia="Times New Roman" w:hAnsiTheme="majorHAnsi"/>
                <w:b/>
                <w:bCs/>
                <w:iCs/>
                <w:sz w:val="18"/>
                <w:szCs w:val="18"/>
                <w:lang w:val="bs-Latn-BA"/>
              </w:rPr>
              <w:t>9</w:t>
            </w:r>
          </w:p>
        </w:tc>
        <w:tc>
          <w:tcPr>
            <w:tcW w:w="1512" w:type="dxa"/>
            <w:tcBorders>
              <w:left w:val="none" w:sz="0" w:space="0" w:color="auto"/>
            </w:tcBorders>
            <w:shd w:val="clear" w:color="auto" w:fill="C6D9F1" w:themeFill="text2" w:themeFillTint="33"/>
            <w:vAlign w:val="center"/>
            <w:hideMark/>
          </w:tcPr>
          <w:p w:rsidR="008D0F36" w:rsidRPr="006C7DFA" w:rsidRDefault="008D0F36" w:rsidP="005F1882">
            <w:pPr>
              <w:jc w:val="center"/>
              <w:cnfStyle w:val="00000001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2</w:t>
            </w:r>
            <w:r w:rsidR="005F1882">
              <w:rPr>
                <w:rFonts w:asciiTheme="majorHAnsi" w:eastAsia="Times New Roman" w:hAnsiTheme="majorHAnsi"/>
                <w:b/>
                <w:bCs/>
                <w:iCs/>
                <w:sz w:val="18"/>
                <w:szCs w:val="18"/>
                <w:lang w:val="bs-Latn-BA"/>
              </w:rPr>
              <w:t>1</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 xml:space="preserve">Prioritetni cilj 1.1. </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B1455A"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1</w:t>
            </w:r>
          </w:p>
        </w:tc>
        <w:tc>
          <w:tcPr>
            <w:tcW w:w="1512" w:type="dxa"/>
            <w:tcBorders>
              <w:left w:val="none" w:sz="0" w:space="0" w:color="auto"/>
            </w:tcBorders>
            <w:shd w:val="clear" w:color="auto" w:fill="FFFFFF" w:themeFill="background1"/>
            <w:vAlign w:val="center"/>
            <w:hideMark/>
          </w:tcPr>
          <w:p w:rsidR="008D0F36" w:rsidRPr="006C7DFA" w:rsidRDefault="008D0F36" w:rsidP="00B1455A">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2</w:t>
            </w:r>
            <w:r w:rsidR="00B1455A" w:rsidRPr="006C7DFA">
              <w:rPr>
                <w:rFonts w:asciiTheme="majorHAnsi" w:eastAsia="Times New Roman" w:hAnsiTheme="majorHAnsi"/>
                <w:sz w:val="18"/>
                <w:szCs w:val="18"/>
                <w:lang w:val="bs-Latn-BA"/>
              </w:rPr>
              <w:t>2</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 xml:space="preserve">Prioritetni cilj1.2. </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6</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 xml:space="preserve">Prioritetni cilj 1.3. </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3</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r>
      <w:tr w:rsidR="004E36C6" w:rsidRPr="006C7DFA" w:rsidTr="004E36C6">
        <w:trPr>
          <w:cnfStyle w:val="000000010000"/>
          <w:trHeight w:val="571"/>
        </w:trPr>
        <w:tc>
          <w:tcPr>
            <w:cnfStyle w:val="001000000000"/>
            <w:tcW w:w="6701" w:type="dxa"/>
            <w:tcBorders>
              <w:right w:val="none" w:sz="0" w:space="0" w:color="auto"/>
            </w:tcBorders>
            <w:shd w:val="clear" w:color="auto" w:fill="C6D9F1" w:themeFill="text2" w:themeFillTint="33"/>
            <w:vAlign w:val="center"/>
            <w:hideMark/>
          </w:tcPr>
          <w:p w:rsidR="008D0F36" w:rsidRPr="006C7DFA" w:rsidRDefault="008D0F36" w:rsidP="008D0F36">
            <w:pPr>
              <w:rPr>
                <w:rFonts w:asciiTheme="majorHAnsi" w:eastAsia="Times New Roman" w:hAnsiTheme="majorHAnsi"/>
                <w:bCs w:val="0"/>
                <w:iCs/>
                <w:sz w:val="18"/>
                <w:szCs w:val="18"/>
                <w:lang w:val="bs-Latn-BA"/>
              </w:rPr>
            </w:pPr>
            <w:r w:rsidRPr="006C7DFA">
              <w:rPr>
                <w:rFonts w:asciiTheme="majorHAnsi" w:eastAsia="Times New Roman" w:hAnsiTheme="majorHAnsi"/>
                <w:bCs w:val="0"/>
                <w:iCs/>
                <w:sz w:val="18"/>
                <w:szCs w:val="18"/>
                <w:lang w:val="bs-Latn-BA"/>
              </w:rPr>
              <w:t>Strateški cilj 2: Uspostaviti efikasne sisteme upravljanja razvojem ljudskih potencijala i tržišta rada, u cilju povećanja zapošljavanja (društveni razvoj)</w:t>
            </w:r>
          </w:p>
        </w:tc>
        <w:tc>
          <w:tcPr>
            <w:tcW w:w="1670" w:type="dxa"/>
            <w:tcBorders>
              <w:left w:val="none" w:sz="0" w:space="0" w:color="auto"/>
              <w:right w:val="none" w:sz="0" w:space="0" w:color="auto"/>
            </w:tcBorders>
            <w:shd w:val="clear" w:color="auto" w:fill="C6D9F1" w:themeFill="text2" w:themeFillTint="33"/>
            <w:vAlign w:val="center"/>
            <w:hideMark/>
          </w:tcPr>
          <w:p w:rsidR="008D0F36" w:rsidRPr="006C7DFA" w:rsidRDefault="008D0F36" w:rsidP="004E36C6">
            <w:pPr>
              <w:jc w:val="center"/>
              <w:cnfStyle w:val="00000001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0</w:t>
            </w:r>
          </w:p>
        </w:tc>
        <w:tc>
          <w:tcPr>
            <w:tcW w:w="1512" w:type="dxa"/>
            <w:tcBorders>
              <w:left w:val="none" w:sz="0" w:space="0" w:color="auto"/>
            </w:tcBorders>
            <w:shd w:val="clear" w:color="auto" w:fill="C6D9F1" w:themeFill="text2" w:themeFillTint="33"/>
            <w:vAlign w:val="center"/>
            <w:hideMark/>
          </w:tcPr>
          <w:p w:rsidR="008D0F36" w:rsidRPr="006C7DFA" w:rsidRDefault="008D0F36" w:rsidP="004E36C6">
            <w:pPr>
              <w:jc w:val="center"/>
              <w:cnfStyle w:val="00000001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3</w:t>
            </w:r>
            <w:r w:rsidR="00B1455A" w:rsidRPr="006C7DFA">
              <w:rPr>
                <w:rFonts w:asciiTheme="majorHAnsi" w:eastAsia="Times New Roman" w:hAnsiTheme="majorHAnsi"/>
                <w:b/>
                <w:bCs/>
                <w:iCs/>
                <w:sz w:val="18"/>
                <w:szCs w:val="18"/>
                <w:lang w:val="bs-Latn-BA"/>
              </w:rPr>
              <w:t>9</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 xml:space="preserve">Prioritetni cilj 2.1. </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266C99" w:rsidP="00B1455A">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2</w:t>
            </w:r>
            <w:r w:rsidR="00B1455A" w:rsidRPr="006C7DFA">
              <w:rPr>
                <w:rFonts w:asciiTheme="majorHAnsi" w:eastAsia="Times New Roman" w:hAnsiTheme="majorHAnsi"/>
                <w:sz w:val="18"/>
                <w:szCs w:val="18"/>
                <w:lang w:val="bs-Latn-BA"/>
              </w:rPr>
              <w:t>1</w:t>
            </w:r>
          </w:p>
        </w:tc>
      </w:tr>
      <w:tr w:rsidR="004E36C6" w:rsidRPr="006C7DFA" w:rsidTr="004E36C6">
        <w:trPr>
          <w:cnfStyle w:val="000000010000"/>
          <w:trHeight w:val="387"/>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 xml:space="preserve">Prioritetni cilj 2.2. </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1</w:t>
            </w:r>
            <w:r w:rsidR="00266C99" w:rsidRPr="006C7DFA">
              <w:rPr>
                <w:rFonts w:asciiTheme="majorHAnsi" w:eastAsia="Times New Roman" w:hAnsiTheme="majorHAnsi"/>
                <w:sz w:val="18"/>
                <w:szCs w:val="18"/>
                <w:lang w:val="bs-Latn-BA"/>
              </w:rPr>
              <w:t>8</w:t>
            </w:r>
          </w:p>
        </w:tc>
      </w:tr>
      <w:tr w:rsidR="004E36C6" w:rsidRPr="006C7DFA" w:rsidTr="004E36C6">
        <w:trPr>
          <w:cnfStyle w:val="000000100000"/>
          <w:trHeight w:val="601"/>
        </w:trPr>
        <w:tc>
          <w:tcPr>
            <w:cnfStyle w:val="001000000000"/>
            <w:tcW w:w="6701" w:type="dxa"/>
            <w:tcBorders>
              <w:right w:val="none" w:sz="0" w:space="0" w:color="auto"/>
            </w:tcBorders>
            <w:shd w:val="clear" w:color="auto" w:fill="C6D9F1" w:themeFill="text2" w:themeFillTint="33"/>
            <w:vAlign w:val="center"/>
            <w:hideMark/>
          </w:tcPr>
          <w:p w:rsidR="008D0F36" w:rsidRPr="006C7DFA" w:rsidRDefault="008D0F36" w:rsidP="008D0F36">
            <w:pPr>
              <w:rPr>
                <w:rFonts w:asciiTheme="majorHAnsi" w:eastAsia="Times New Roman" w:hAnsiTheme="majorHAnsi"/>
                <w:bCs w:val="0"/>
                <w:iCs/>
                <w:sz w:val="18"/>
                <w:szCs w:val="18"/>
                <w:lang w:val="bs-Latn-BA"/>
              </w:rPr>
            </w:pPr>
            <w:r w:rsidRPr="006C7DFA">
              <w:rPr>
                <w:rFonts w:asciiTheme="majorHAnsi" w:eastAsia="Times New Roman" w:hAnsiTheme="majorHAnsi"/>
                <w:bCs w:val="0"/>
                <w:iCs/>
                <w:sz w:val="18"/>
                <w:szCs w:val="18"/>
                <w:lang w:val="bs-Latn-BA"/>
              </w:rPr>
              <w:t>Strateški cilj 3: Poboljšati kvalitetu života, sigurnost i socijalnu uključenost građana i učiniti politiku socijalne zaštite pravičnom i djelotvornom</w:t>
            </w:r>
          </w:p>
        </w:tc>
        <w:tc>
          <w:tcPr>
            <w:tcW w:w="1670" w:type="dxa"/>
            <w:tcBorders>
              <w:left w:val="none" w:sz="0" w:space="0" w:color="auto"/>
              <w:right w:val="none" w:sz="0" w:space="0" w:color="auto"/>
            </w:tcBorders>
            <w:shd w:val="clear" w:color="auto" w:fill="C6D9F1" w:themeFill="text2" w:themeFillTint="33"/>
            <w:vAlign w:val="center"/>
            <w:hideMark/>
          </w:tcPr>
          <w:p w:rsidR="008D0F36" w:rsidRPr="006C7DFA" w:rsidRDefault="008D0F36"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0</w:t>
            </w:r>
          </w:p>
        </w:tc>
        <w:tc>
          <w:tcPr>
            <w:tcW w:w="1512" w:type="dxa"/>
            <w:tcBorders>
              <w:left w:val="none" w:sz="0" w:space="0" w:color="auto"/>
            </w:tcBorders>
            <w:shd w:val="clear" w:color="auto" w:fill="C6D9F1" w:themeFill="text2" w:themeFillTint="33"/>
            <w:vAlign w:val="center"/>
            <w:hideMark/>
          </w:tcPr>
          <w:p w:rsidR="008D0F36" w:rsidRPr="006C7DFA" w:rsidRDefault="008D0F36"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4</w:t>
            </w:r>
            <w:r w:rsidR="005B5A20">
              <w:rPr>
                <w:rFonts w:asciiTheme="majorHAnsi" w:eastAsia="Times New Roman" w:hAnsiTheme="majorHAnsi"/>
                <w:b/>
                <w:bCs/>
                <w:iCs/>
                <w:sz w:val="18"/>
                <w:szCs w:val="18"/>
                <w:lang w:val="bs-Latn-BA"/>
              </w:rPr>
              <w:t>9</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3.1.</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266C99"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9</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cilj3.2.</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2</w:t>
            </w:r>
            <w:r w:rsidR="005B5A20">
              <w:rPr>
                <w:rFonts w:asciiTheme="majorHAnsi" w:eastAsia="Times New Roman" w:hAnsiTheme="majorHAnsi"/>
                <w:sz w:val="18"/>
                <w:szCs w:val="18"/>
                <w:lang w:val="bs-Latn-BA"/>
              </w:rPr>
              <w:t>5</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3.3.</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15</w:t>
            </w:r>
          </w:p>
        </w:tc>
      </w:tr>
      <w:tr w:rsidR="004E36C6" w:rsidRPr="006C7DFA" w:rsidTr="004E36C6">
        <w:trPr>
          <w:cnfStyle w:val="000000100000"/>
          <w:trHeight w:val="511"/>
        </w:trPr>
        <w:tc>
          <w:tcPr>
            <w:cnfStyle w:val="001000000000"/>
            <w:tcW w:w="6701" w:type="dxa"/>
            <w:tcBorders>
              <w:right w:val="none" w:sz="0" w:space="0" w:color="auto"/>
            </w:tcBorders>
            <w:shd w:val="clear" w:color="auto" w:fill="C6D9F1" w:themeFill="text2" w:themeFillTint="33"/>
            <w:vAlign w:val="center"/>
            <w:hideMark/>
          </w:tcPr>
          <w:p w:rsidR="008D0F36" w:rsidRPr="006C7DFA" w:rsidRDefault="008D0F36" w:rsidP="008D0F36">
            <w:pPr>
              <w:rPr>
                <w:rFonts w:asciiTheme="majorHAnsi" w:eastAsia="Times New Roman" w:hAnsiTheme="majorHAnsi"/>
                <w:bCs w:val="0"/>
                <w:iCs/>
                <w:sz w:val="18"/>
                <w:szCs w:val="18"/>
                <w:lang w:val="bs-Latn-BA"/>
              </w:rPr>
            </w:pPr>
            <w:r w:rsidRPr="006C7DFA">
              <w:rPr>
                <w:rFonts w:asciiTheme="majorHAnsi" w:eastAsia="Times New Roman" w:hAnsiTheme="majorHAnsi"/>
                <w:bCs w:val="0"/>
                <w:iCs/>
                <w:sz w:val="18"/>
                <w:szCs w:val="18"/>
                <w:lang w:val="bs-Latn-BA"/>
              </w:rPr>
              <w:t>Strateški cilj 4: Modernizovati i učiniti ekonomski održivom javnu infrastrukturu, prvenstveno saobraćajnu, vodnu i energetsku.</w:t>
            </w:r>
          </w:p>
        </w:tc>
        <w:tc>
          <w:tcPr>
            <w:tcW w:w="1670" w:type="dxa"/>
            <w:tcBorders>
              <w:left w:val="none" w:sz="0" w:space="0" w:color="auto"/>
              <w:right w:val="none" w:sz="0" w:space="0" w:color="auto"/>
            </w:tcBorders>
            <w:shd w:val="clear" w:color="auto" w:fill="C6D9F1" w:themeFill="text2" w:themeFillTint="33"/>
            <w:vAlign w:val="center"/>
            <w:hideMark/>
          </w:tcPr>
          <w:p w:rsidR="008D0F36" w:rsidRPr="006C7DFA" w:rsidRDefault="008D0F36"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6</w:t>
            </w:r>
          </w:p>
        </w:tc>
        <w:tc>
          <w:tcPr>
            <w:tcW w:w="1512" w:type="dxa"/>
            <w:tcBorders>
              <w:left w:val="none" w:sz="0" w:space="0" w:color="auto"/>
            </w:tcBorders>
            <w:shd w:val="clear" w:color="auto" w:fill="C6D9F1" w:themeFill="text2" w:themeFillTint="33"/>
            <w:vAlign w:val="center"/>
            <w:hideMark/>
          </w:tcPr>
          <w:p w:rsidR="008D0F36" w:rsidRPr="006C7DFA" w:rsidRDefault="008D0F36"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2</w:t>
            </w:r>
            <w:r w:rsidR="00266C99" w:rsidRPr="006C7DFA">
              <w:rPr>
                <w:rFonts w:asciiTheme="majorHAnsi" w:eastAsia="Times New Roman" w:hAnsiTheme="majorHAnsi"/>
                <w:b/>
                <w:bCs/>
                <w:iCs/>
                <w:sz w:val="18"/>
                <w:szCs w:val="18"/>
                <w:lang w:val="bs-Latn-BA"/>
              </w:rPr>
              <w:t>3</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4.1.</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2</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1</w:t>
            </w:r>
            <w:r w:rsidR="00266C99" w:rsidRPr="006C7DFA">
              <w:rPr>
                <w:rFonts w:asciiTheme="majorHAnsi" w:eastAsia="Times New Roman" w:hAnsiTheme="majorHAnsi"/>
                <w:sz w:val="18"/>
                <w:szCs w:val="18"/>
                <w:lang w:val="bs-Latn-BA"/>
              </w:rPr>
              <w:t>8</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4.2.</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4</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4.3.</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5</w:t>
            </w:r>
          </w:p>
        </w:tc>
      </w:tr>
      <w:tr w:rsidR="004E36C6" w:rsidRPr="006C7DFA" w:rsidTr="004E36C6">
        <w:trPr>
          <w:cnfStyle w:val="000000100000"/>
          <w:trHeight w:val="511"/>
        </w:trPr>
        <w:tc>
          <w:tcPr>
            <w:cnfStyle w:val="001000000000"/>
            <w:tcW w:w="6701" w:type="dxa"/>
            <w:tcBorders>
              <w:right w:val="none" w:sz="0" w:space="0" w:color="auto"/>
            </w:tcBorders>
            <w:shd w:val="clear" w:color="auto" w:fill="C6D9F1" w:themeFill="text2" w:themeFillTint="33"/>
            <w:vAlign w:val="center"/>
            <w:hideMark/>
          </w:tcPr>
          <w:p w:rsidR="008D0F36" w:rsidRPr="006C7DFA" w:rsidRDefault="008D0F36" w:rsidP="008D0F36">
            <w:pPr>
              <w:rPr>
                <w:rFonts w:asciiTheme="majorHAnsi" w:eastAsia="Times New Roman" w:hAnsiTheme="majorHAnsi"/>
                <w:bCs w:val="0"/>
                <w:iCs/>
                <w:sz w:val="18"/>
                <w:szCs w:val="18"/>
                <w:lang w:val="bs-Latn-BA"/>
              </w:rPr>
            </w:pPr>
            <w:r w:rsidRPr="006C7DFA">
              <w:rPr>
                <w:rFonts w:asciiTheme="majorHAnsi" w:eastAsia="Times New Roman" w:hAnsiTheme="majorHAnsi"/>
                <w:bCs w:val="0"/>
                <w:iCs/>
                <w:sz w:val="18"/>
                <w:szCs w:val="18"/>
                <w:lang w:val="bs-Latn-BA"/>
              </w:rPr>
              <w:t>Strateški cilj 5: Uspostaviti funkcionalan sistem zaštite okoliša i održivog upravljanja prirodnim resursima</w:t>
            </w:r>
          </w:p>
        </w:tc>
        <w:tc>
          <w:tcPr>
            <w:tcW w:w="1670" w:type="dxa"/>
            <w:tcBorders>
              <w:left w:val="none" w:sz="0" w:space="0" w:color="auto"/>
              <w:right w:val="none" w:sz="0" w:space="0" w:color="auto"/>
            </w:tcBorders>
            <w:shd w:val="clear" w:color="auto" w:fill="C6D9F1" w:themeFill="text2" w:themeFillTint="33"/>
            <w:vAlign w:val="center"/>
            <w:hideMark/>
          </w:tcPr>
          <w:p w:rsidR="008D0F36" w:rsidRPr="006C7DFA" w:rsidRDefault="008D0F36"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2</w:t>
            </w:r>
          </w:p>
        </w:tc>
        <w:tc>
          <w:tcPr>
            <w:tcW w:w="1512" w:type="dxa"/>
            <w:tcBorders>
              <w:left w:val="none" w:sz="0" w:space="0" w:color="auto"/>
            </w:tcBorders>
            <w:shd w:val="clear" w:color="auto" w:fill="C6D9F1" w:themeFill="text2" w:themeFillTint="33"/>
            <w:vAlign w:val="center"/>
            <w:hideMark/>
          </w:tcPr>
          <w:p w:rsidR="008D0F36" w:rsidRPr="006C7DFA" w:rsidRDefault="00266C99" w:rsidP="004E36C6">
            <w:pPr>
              <w:jc w:val="center"/>
              <w:cnfStyle w:val="000000100000"/>
              <w:rPr>
                <w:rFonts w:asciiTheme="majorHAnsi" w:eastAsia="Times New Roman" w:hAnsiTheme="majorHAnsi"/>
                <w:b/>
                <w:bCs/>
                <w:iCs/>
                <w:sz w:val="18"/>
                <w:szCs w:val="18"/>
                <w:lang w:val="bs-Latn-BA"/>
              </w:rPr>
            </w:pPr>
            <w:r w:rsidRPr="006C7DFA">
              <w:rPr>
                <w:rFonts w:asciiTheme="majorHAnsi" w:eastAsia="Times New Roman" w:hAnsiTheme="majorHAnsi"/>
                <w:b/>
                <w:bCs/>
                <w:iCs/>
                <w:sz w:val="18"/>
                <w:szCs w:val="18"/>
                <w:lang w:val="bs-Latn-BA"/>
              </w:rPr>
              <w:t>31</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5.1.</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2</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3</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5.2.</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16</w:t>
            </w:r>
          </w:p>
        </w:tc>
      </w:tr>
      <w:tr w:rsidR="004E36C6" w:rsidRPr="006C7DFA" w:rsidTr="004E36C6">
        <w:trPr>
          <w:cnfStyle w:val="00000001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5.3.</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8D0F36" w:rsidP="004E36C6">
            <w:pPr>
              <w:jc w:val="center"/>
              <w:cnfStyle w:val="00000001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3</w:t>
            </w:r>
          </w:p>
        </w:tc>
      </w:tr>
      <w:tr w:rsidR="004E36C6" w:rsidRPr="006C7DFA" w:rsidTr="004E36C6">
        <w:trPr>
          <w:cnfStyle w:val="000000100000"/>
          <w:trHeight w:val="301"/>
        </w:trPr>
        <w:tc>
          <w:tcPr>
            <w:cnfStyle w:val="001000000000"/>
            <w:tcW w:w="6701" w:type="dxa"/>
            <w:tcBorders>
              <w:right w:val="none" w:sz="0" w:space="0" w:color="auto"/>
            </w:tcBorders>
            <w:shd w:val="clear" w:color="auto" w:fill="FFFFFF" w:themeFill="background1"/>
            <w:vAlign w:val="center"/>
            <w:hideMark/>
          </w:tcPr>
          <w:p w:rsidR="008D0F36" w:rsidRPr="006C7DFA" w:rsidRDefault="008D0F36" w:rsidP="008D0F36">
            <w:pPr>
              <w:rPr>
                <w:rFonts w:asciiTheme="majorHAnsi" w:eastAsia="Times New Roman" w:hAnsiTheme="majorHAnsi"/>
                <w:b w:val="0"/>
                <w:iCs/>
                <w:sz w:val="18"/>
                <w:szCs w:val="18"/>
                <w:lang w:val="bs-Latn-BA"/>
              </w:rPr>
            </w:pPr>
            <w:r w:rsidRPr="006C7DFA">
              <w:rPr>
                <w:rFonts w:asciiTheme="majorHAnsi" w:eastAsia="Times New Roman" w:hAnsiTheme="majorHAnsi"/>
                <w:b w:val="0"/>
                <w:iCs/>
                <w:sz w:val="18"/>
                <w:szCs w:val="18"/>
                <w:lang w:val="bs-Latn-BA"/>
              </w:rPr>
              <w:t>Prioritetni cilj 5.4.</w:t>
            </w:r>
          </w:p>
        </w:tc>
        <w:tc>
          <w:tcPr>
            <w:tcW w:w="1670" w:type="dxa"/>
            <w:tcBorders>
              <w:left w:val="none" w:sz="0" w:space="0" w:color="auto"/>
              <w:right w:val="none" w:sz="0" w:space="0" w:color="auto"/>
            </w:tcBorders>
            <w:shd w:val="clear" w:color="auto" w:fill="FFFFFF" w:themeFill="background1"/>
            <w:vAlign w:val="center"/>
            <w:hideMark/>
          </w:tcPr>
          <w:p w:rsidR="008D0F36" w:rsidRPr="006C7DFA" w:rsidRDefault="008D0F36"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0</w:t>
            </w:r>
          </w:p>
        </w:tc>
        <w:tc>
          <w:tcPr>
            <w:tcW w:w="1512" w:type="dxa"/>
            <w:tcBorders>
              <w:left w:val="none" w:sz="0" w:space="0" w:color="auto"/>
            </w:tcBorders>
            <w:shd w:val="clear" w:color="auto" w:fill="FFFFFF" w:themeFill="background1"/>
            <w:vAlign w:val="center"/>
            <w:hideMark/>
          </w:tcPr>
          <w:p w:rsidR="008D0F36" w:rsidRPr="006C7DFA" w:rsidRDefault="00266C99" w:rsidP="004E36C6">
            <w:pPr>
              <w:jc w:val="center"/>
              <w:cnfStyle w:val="000000100000"/>
              <w:rPr>
                <w:rFonts w:asciiTheme="majorHAnsi" w:eastAsia="Times New Roman" w:hAnsiTheme="majorHAnsi"/>
                <w:sz w:val="18"/>
                <w:szCs w:val="18"/>
                <w:lang w:val="bs-Latn-BA"/>
              </w:rPr>
            </w:pPr>
            <w:r w:rsidRPr="006C7DFA">
              <w:rPr>
                <w:rFonts w:asciiTheme="majorHAnsi" w:eastAsia="Times New Roman" w:hAnsiTheme="majorHAnsi"/>
                <w:sz w:val="18"/>
                <w:szCs w:val="18"/>
                <w:lang w:val="bs-Latn-BA"/>
              </w:rPr>
              <w:t>9</w:t>
            </w:r>
          </w:p>
        </w:tc>
      </w:tr>
      <w:tr w:rsidR="004E36C6" w:rsidRPr="006C7DFA" w:rsidTr="004E36C6">
        <w:trPr>
          <w:cnfStyle w:val="000000010000"/>
          <w:trHeight w:val="301"/>
        </w:trPr>
        <w:tc>
          <w:tcPr>
            <w:cnfStyle w:val="001000000000"/>
            <w:tcW w:w="6701" w:type="dxa"/>
            <w:tcBorders>
              <w:right w:val="none" w:sz="0" w:space="0" w:color="auto"/>
            </w:tcBorders>
            <w:shd w:val="clear" w:color="auto" w:fill="C6D9F1" w:themeFill="text2" w:themeFillTint="33"/>
            <w:noWrap/>
            <w:vAlign w:val="center"/>
            <w:hideMark/>
          </w:tcPr>
          <w:p w:rsidR="008D0F36" w:rsidRPr="006C7DFA" w:rsidRDefault="008D0F36" w:rsidP="008D0F36">
            <w:pPr>
              <w:jc w:val="center"/>
              <w:rPr>
                <w:rFonts w:asciiTheme="majorHAnsi" w:eastAsia="Times New Roman" w:hAnsiTheme="majorHAnsi"/>
                <w:bCs w:val="0"/>
                <w:sz w:val="18"/>
                <w:szCs w:val="18"/>
                <w:lang w:val="bs-Latn-BA"/>
              </w:rPr>
            </w:pPr>
            <w:r w:rsidRPr="006C7DFA">
              <w:rPr>
                <w:rFonts w:asciiTheme="majorHAnsi" w:eastAsia="Times New Roman" w:hAnsiTheme="majorHAnsi"/>
                <w:bCs w:val="0"/>
                <w:sz w:val="18"/>
                <w:szCs w:val="18"/>
                <w:lang w:val="bs-Latn-BA"/>
              </w:rPr>
              <w:t>UKUPNO</w:t>
            </w:r>
          </w:p>
        </w:tc>
        <w:tc>
          <w:tcPr>
            <w:tcW w:w="1670" w:type="dxa"/>
            <w:tcBorders>
              <w:left w:val="none" w:sz="0" w:space="0" w:color="auto"/>
              <w:right w:val="none" w:sz="0" w:space="0" w:color="auto"/>
            </w:tcBorders>
            <w:shd w:val="clear" w:color="auto" w:fill="C6D9F1" w:themeFill="text2" w:themeFillTint="33"/>
            <w:noWrap/>
            <w:vAlign w:val="center"/>
            <w:hideMark/>
          </w:tcPr>
          <w:p w:rsidR="008D0F36" w:rsidRPr="006C7DFA" w:rsidRDefault="008D0F36" w:rsidP="005F1882">
            <w:pPr>
              <w:jc w:val="center"/>
              <w:cnfStyle w:val="000000010000"/>
              <w:rPr>
                <w:rFonts w:asciiTheme="majorHAnsi" w:eastAsia="Times New Roman" w:hAnsiTheme="majorHAnsi"/>
                <w:b/>
                <w:bCs/>
                <w:sz w:val="18"/>
                <w:szCs w:val="18"/>
                <w:lang w:val="bs-Latn-BA"/>
              </w:rPr>
            </w:pPr>
            <w:r w:rsidRPr="006C7DFA">
              <w:rPr>
                <w:rFonts w:asciiTheme="majorHAnsi" w:eastAsia="Times New Roman" w:hAnsiTheme="majorHAnsi"/>
                <w:b/>
                <w:bCs/>
                <w:sz w:val="18"/>
                <w:szCs w:val="18"/>
                <w:lang w:val="bs-Latn-BA"/>
              </w:rPr>
              <w:t>1</w:t>
            </w:r>
            <w:r w:rsidR="005F1882">
              <w:rPr>
                <w:rFonts w:asciiTheme="majorHAnsi" w:eastAsia="Times New Roman" w:hAnsiTheme="majorHAnsi"/>
                <w:b/>
                <w:bCs/>
                <w:sz w:val="18"/>
                <w:szCs w:val="18"/>
                <w:lang w:val="bs-Latn-BA"/>
              </w:rPr>
              <w:t>7</w:t>
            </w:r>
          </w:p>
        </w:tc>
        <w:tc>
          <w:tcPr>
            <w:tcW w:w="1512" w:type="dxa"/>
            <w:tcBorders>
              <w:left w:val="none" w:sz="0" w:space="0" w:color="auto"/>
            </w:tcBorders>
            <w:shd w:val="clear" w:color="auto" w:fill="C6D9F1" w:themeFill="text2" w:themeFillTint="33"/>
            <w:noWrap/>
            <w:vAlign w:val="center"/>
            <w:hideMark/>
          </w:tcPr>
          <w:p w:rsidR="008D0F36" w:rsidRPr="006C7DFA" w:rsidRDefault="008D0F36" w:rsidP="005F1882">
            <w:pPr>
              <w:jc w:val="center"/>
              <w:cnfStyle w:val="000000010000"/>
              <w:rPr>
                <w:rFonts w:asciiTheme="majorHAnsi" w:eastAsia="Times New Roman" w:hAnsiTheme="majorHAnsi"/>
                <w:b/>
                <w:bCs/>
                <w:sz w:val="18"/>
                <w:szCs w:val="18"/>
                <w:lang w:val="bs-Latn-BA"/>
              </w:rPr>
            </w:pPr>
            <w:r w:rsidRPr="006C7DFA">
              <w:rPr>
                <w:rFonts w:asciiTheme="majorHAnsi" w:eastAsia="Times New Roman" w:hAnsiTheme="majorHAnsi"/>
                <w:b/>
                <w:bCs/>
                <w:sz w:val="18"/>
                <w:szCs w:val="18"/>
                <w:lang w:val="bs-Latn-BA"/>
              </w:rPr>
              <w:t>1</w:t>
            </w:r>
            <w:r w:rsidR="005B5A20">
              <w:rPr>
                <w:rFonts w:asciiTheme="majorHAnsi" w:eastAsia="Times New Roman" w:hAnsiTheme="majorHAnsi"/>
                <w:b/>
                <w:bCs/>
                <w:sz w:val="18"/>
                <w:szCs w:val="18"/>
                <w:lang w:val="bs-Latn-BA"/>
              </w:rPr>
              <w:t>63</w:t>
            </w:r>
          </w:p>
        </w:tc>
      </w:tr>
    </w:tbl>
    <w:p w:rsidR="00B875FF" w:rsidRPr="006C7DFA" w:rsidRDefault="00B875FF" w:rsidP="00B875FF">
      <w:pPr>
        <w:rPr>
          <w:rFonts w:asciiTheme="majorHAnsi" w:hAnsiTheme="majorHAnsi"/>
          <w:lang w:val="bs-Latn-BA" w:eastAsia="hr-HR"/>
        </w:rPr>
      </w:pPr>
    </w:p>
    <w:p w:rsidR="00987930" w:rsidRPr="001A084E" w:rsidRDefault="00C33937" w:rsidP="00084580">
      <w:pPr>
        <w:spacing w:after="120" w:line="276" w:lineRule="auto"/>
        <w:jc w:val="both"/>
        <w:rPr>
          <w:rFonts w:asciiTheme="majorHAnsi" w:hAnsiTheme="majorHAnsi"/>
          <w:szCs w:val="24"/>
          <w:lang w:val="bs-Latn-BA"/>
        </w:rPr>
      </w:pPr>
      <w:r w:rsidRPr="001A084E">
        <w:rPr>
          <w:rFonts w:asciiTheme="majorHAnsi" w:hAnsiTheme="majorHAnsi"/>
          <w:szCs w:val="24"/>
          <w:lang w:val="bs-Latn-BA"/>
        </w:rPr>
        <w:t>Ukupno planirana sredstva za realizaciju svih planiranih aktivnosti u periodu 201</w:t>
      </w:r>
      <w:r w:rsidR="00CE3F06" w:rsidRPr="001A084E">
        <w:rPr>
          <w:rFonts w:asciiTheme="majorHAnsi" w:hAnsiTheme="majorHAnsi"/>
          <w:szCs w:val="24"/>
          <w:lang w:val="bs-Latn-BA"/>
        </w:rPr>
        <w:t>9</w:t>
      </w:r>
      <w:r w:rsidRPr="001A084E">
        <w:rPr>
          <w:rFonts w:asciiTheme="majorHAnsi" w:hAnsiTheme="majorHAnsi"/>
          <w:szCs w:val="24"/>
          <w:lang w:val="bs-Latn-BA"/>
        </w:rPr>
        <w:t>.-202</w:t>
      </w:r>
      <w:r w:rsidR="00CE3F06" w:rsidRPr="001A084E">
        <w:rPr>
          <w:rFonts w:asciiTheme="majorHAnsi" w:hAnsiTheme="majorHAnsi"/>
          <w:szCs w:val="24"/>
          <w:lang w:val="bs-Latn-BA"/>
        </w:rPr>
        <w:t>1</w:t>
      </w:r>
      <w:r w:rsidRPr="001A084E">
        <w:rPr>
          <w:rFonts w:asciiTheme="majorHAnsi" w:hAnsiTheme="majorHAnsi"/>
          <w:szCs w:val="24"/>
          <w:lang w:val="bs-Latn-BA"/>
        </w:rPr>
        <w:t>.</w:t>
      </w:r>
      <w:r w:rsidR="00182732" w:rsidRPr="001A084E">
        <w:rPr>
          <w:rFonts w:asciiTheme="majorHAnsi" w:hAnsiTheme="majorHAnsi"/>
          <w:szCs w:val="24"/>
          <w:lang w:val="bs-Latn-BA"/>
        </w:rPr>
        <w:t xml:space="preserve"> </w:t>
      </w:r>
      <w:r w:rsidRPr="001A084E">
        <w:rPr>
          <w:rFonts w:asciiTheme="majorHAnsi" w:hAnsiTheme="majorHAnsi"/>
          <w:szCs w:val="24"/>
          <w:lang w:val="bs-Latn-BA"/>
        </w:rPr>
        <w:t>god</w:t>
      </w:r>
      <w:r w:rsidR="00182732" w:rsidRPr="001A084E">
        <w:rPr>
          <w:rFonts w:asciiTheme="majorHAnsi" w:hAnsiTheme="majorHAnsi"/>
          <w:szCs w:val="24"/>
          <w:lang w:val="bs-Latn-BA"/>
        </w:rPr>
        <w:t xml:space="preserve">ina su na nivou od </w:t>
      </w:r>
      <w:r w:rsidR="002D79D1" w:rsidRPr="001A084E">
        <w:rPr>
          <w:rFonts w:asciiTheme="majorHAnsi" w:hAnsiTheme="majorHAnsi"/>
          <w:szCs w:val="24"/>
          <w:lang w:val="bs-Latn-BA"/>
        </w:rPr>
        <w:t>36</w:t>
      </w:r>
      <w:r w:rsidR="005B5A20">
        <w:rPr>
          <w:rFonts w:asciiTheme="majorHAnsi" w:hAnsiTheme="majorHAnsi"/>
          <w:szCs w:val="24"/>
          <w:lang w:val="bs-Latn-BA"/>
        </w:rPr>
        <w:t>7</w:t>
      </w:r>
      <w:r w:rsidR="002D79D1" w:rsidRPr="001A084E">
        <w:rPr>
          <w:rFonts w:asciiTheme="majorHAnsi" w:hAnsiTheme="majorHAnsi"/>
          <w:szCs w:val="24"/>
          <w:lang w:val="bs-Latn-BA"/>
        </w:rPr>
        <w:t>.</w:t>
      </w:r>
      <w:r w:rsidR="005B5A20">
        <w:rPr>
          <w:rFonts w:asciiTheme="majorHAnsi" w:hAnsiTheme="majorHAnsi"/>
          <w:szCs w:val="24"/>
          <w:lang w:val="bs-Latn-BA"/>
        </w:rPr>
        <w:t>448</w:t>
      </w:r>
      <w:r w:rsidR="002D79D1" w:rsidRPr="001A084E">
        <w:rPr>
          <w:rFonts w:asciiTheme="majorHAnsi" w:hAnsiTheme="majorHAnsi"/>
          <w:szCs w:val="24"/>
          <w:lang w:val="bs-Latn-BA"/>
        </w:rPr>
        <w:t>.</w:t>
      </w:r>
      <w:r w:rsidR="005F1882" w:rsidRPr="001A084E">
        <w:rPr>
          <w:rFonts w:asciiTheme="majorHAnsi" w:hAnsiTheme="majorHAnsi"/>
          <w:szCs w:val="24"/>
          <w:lang w:val="bs-Latn-BA"/>
        </w:rPr>
        <w:t>757</w:t>
      </w:r>
      <w:r w:rsidR="009D7102" w:rsidRPr="001A084E">
        <w:rPr>
          <w:rFonts w:asciiTheme="majorHAnsi" w:hAnsiTheme="majorHAnsi"/>
          <w:szCs w:val="24"/>
          <w:lang w:val="bs-Latn-BA"/>
        </w:rPr>
        <w:t xml:space="preserve"> </w:t>
      </w:r>
      <w:r w:rsidRPr="001A084E">
        <w:rPr>
          <w:rFonts w:asciiTheme="majorHAnsi" w:hAnsiTheme="majorHAnsi"/>
          <w:szCs w:val="24"/>
          <w:lang w:val="bs-Latn-BA"/>
        </w:rPr>
        <w:t>KM.</w:t>
      </w:r>
      <w:r w:rsidR="00D5656C" w:rsidRPr="001A084E">
        <w:rPr>
          <w:rFonts w:asciiTheme="majorHAnsi" w:hAnsiTheme="majorHAnsi"/>
          <w:szCs w:val="24"/>
          <w:lang w:val="bs-Latn-BA"/>
        </w:rPr>
        <w:t xml:space="preserve"> Iz vlastitih </w:t>
      </w:r>
      <w:r w:rsidR="00182732" w:rsidRPr="001A084E">
        <w:rPr>
          <w:rFonts w:asciiTheme="majorHAnsi" w:hAnsiTheme="majorHAnsi"/>
          <w:szCs w:val="24"/>
          <w:lang w:val="bs-Latn-BA"/>
        </w:rPr>
        <w:t>budžetskih</w:t>
      </w:r>
      <w:r w:rsidR="00D5656C" w:rsidRPr="001A084E">
        <w:rPr>
          <w:rFonts w:asciiTheme="majorHAnsi" w:hAnsiTheme="majorHAnsi"/>
          <w:szCs w:val="24"/>
          <w:lang w:val="bs-Latn-BA"/>
        </w:rPr>
        <w:t xml:space="preserve"> sredstava je planirano </w:t>
      </w:r>
      <w:r w:rsidR="009D7102" w:rsidRPr="001A084E">
        <w:rPr>
          <w:rFonts w:asciiTheme="majorHAnsi" w:hAnsiTheme="majorHAnsi"/>
          <w:szCs w:val="24"/>
          <w:lang w:val="bs-Latn-BA"/>
        </w:rPr>
        <w:t>9</w:t>
      </w:r>
      <w:r w:rsidR="002D79D1" w:rsidRPr="001A084E">
        <w:rPr>
          <w:rFonts w:asciiTheme="majorHAnsi" w:hAnsiTheme="majorHAnsi"/>
          <w:szCs w:val="24"/>
          <w:lang w:val="bs-Latn-BA"/>
        </w:rPr>
        <w:t>5</w:t>
      </w:r>
      <w:r w:rsidR="009D7102" w:rsidRPr="001A084E">
        <w:rPr>
          <w:rFonts w:asciiTheme="majorHAnsi" w:hAnsiTheme="majorHAnsi"/>
          <w:szCs w:val="24"/>
          <w:lang w:val="bs-Latn-BA"/>
        </w:rPr>
        <w:t>.</w:t>
      </w:r>
      <w:r w:rsidR="005B5A20">
        <w:rPr>
          <w:rFonts w:asciiTheme="majorHAnsi" w:hAnsiTheme="majorHAnsi"/>
          <w:szCs w:val="24"/>
          <w:lang w:val="bs-Latn-BA"/>
        </w:rPr>
        <w:t>901</w:t>
      </w:r>
      <w:r w:rsidR="009D7102" w:rsidRPr="001A084E">
        <w:rPr>
          <w:rFonts w:asciiTheme="majorHAnsi" w:hAnsiTheme="majorHAnsi"/>
          <w:szCs w:val="24"/>
          <w:lang w:val="bs-Latn-BA"/>
        </w:rPr>
        <w:t>.</w:t>
      </w:r>
      <w:r w:rsidR="005F1882" w:rsidRPr="001A084E">
        <w:rPr>
          <w:rFonts w:asciiTheme="majorHAnsi" w:hAnsiTheme="majorHAnsi"/>
          <w:szCs w:val="24"/>
          <w:lang w:val="bs-Latn-BA"/>
        </w:rPr>
        <w:t>017</w:t>
      </w:r>
      <w:r w:rsidR="009F7EDD" w:rsidRPr="001A084E">
        <w:rPr>
          <w:rFonts w:asciiTheme="majorHAnsi" w:hAnsiTheme="majorHAnsi"/>
          <w:szCs w:val="24"/>
          <w:lang w:val="bs-Latn-BA"/>
        </w:rPr>
        <w:t xml:space="preserve"> KM, dok je</w:t>
      </w:r>
      <w:r w:rsidR="00D5656C" w:rsidRPr="001A084E">
        <w:rPr>
          <w:rFonts w:asciiTheme="majorHAnsi" w:hAnsiTheme="majorHAnsi"/>
          <w:szCs w:val="24"/>
          <w:lang w:val="bs-Latn-BA"/>
        </w:rPr>
        <w:t xml:space="preserve"> iz ostalih </w:t>
      </w:r>
      <w:r w:rsidR="00182732" w:rsidRPr="001A084E">
        <w:rPr>
          <w:rFonts w:asciiTheme="majorHAnsi" w:hAnsiTheme="majorHAnsi"/>
          <w:szCs w:val="24"/>
          <w:lang w:val="bs-Latn-BA"/>
        </w:rPr>
        <w:t>budžetskih</w:t>
      </w:r>
      <w:r w:rsidR="00D5656C" w:rsidRPr="001A084E">
        <w:rPr>
          <w:rFonts w:asciiTheme="majorHAnsi" w:hAnsiTheme="majorHAnsi"/>
          <w:szCs w:val="24"/>
          <w:lang w:val="bs-Latn-BA"/>
        </w:rPr>
        <w:t xml:space="preserve"> sredstava je planirano </w:t>
      </w:r>
      <w:r w:rsidR="002D79D1" w:rsidRPr="001A084E">
        <w:rPr>
          <w:rFonts w:asciiTheme="majorHAnsi" w:hAnsiTheme="majorHAnsi"/>
          <w:szCs w:val="24"/>
          <w:lang w:val="bs-Latn-BA"/>
        </w:rPr>
        <w:t>11</w:t>
      </w:r>
      <w:r w:rsidR="009D7102" w:rsidRPr="001A084E">
        <w:rPr>
          <w:rFonts w:asciiTheme="majorHAnsi" w:hAnsiTheme="majorHAnsi"/>
          <w:szCs w:val="24"/>
          <w:lang w:val="bs-Latn-BA"/>
        </w:rPr>
        <w:t>6.</w:t>
      </w:r>
      <w:r w:rsidR="005F1882" w:rsidRPr="001A084E">
        <w:rPr>
          <w:rFonts w:asciiTheme="majorHAnsi" w:hAnsiTheme="majorHAnsi"/>
          <w:szCs w:val="24"/>
          <w:lang w:val="bs-Latn-BA"/>
        </w:rPr>
        <w:t>949</w:t>
      </w:r>
      <w:r w:rsidR="009D7102" w:rsidRPr="001A084E">
        <w:rPr>
          <w:rFonts w:asciiTheme="majorHAnsi" w:hAnsiTheme="majorHAnsi"/>
          <w:szCs w:val="24"/>
          <w:lang w:val="bs-Latn-BA"/>
        </w:rPr>
        <w:t>.</w:t>
      </w:r>
      <w:r w:rsidR="002D79D1" w:rsidRPr="001A084E">
        <w:rPr>
          <w:rFonts w:asciiTheme="majorHAnsi" w:hAnsiTheme="majorHAnsi"/>
          <w:szCs w:val="24"/>
          <w:lang w:val="bs-Latn-BA"/>
        </w:rPr>
        <w:t>381</w:t>
      </w:r>
      <w:r w:rsidR="00D5656C" w:rsidRPr="001A084E">
        <w:rPr>
          <w:rFonts w:asciiTheme="majorHAnsi" w:hAnsiTheme="majorHAnsi"/>
          <w:szCs w:val="24"/>
          <w:lang w:val="bs-Latn-BA"/>
        </w:rPr>
        <w:t xml:space="preserve"> KM</w:t>
      </w:r>
      <w:r w:rsidR="00860BFC" w:rsidRPr="001A084E">
        <w:rPr>
          <w:rFonts w:asciiTheme="majorHAnsi" w:hAnsiTheme="majorHAnsi"/>
          <w:szCs w:val="24"/>
          <w:lang w:val="bs-Latn-BA"/>
        </w:rPr>
        <w:t>.</w:t>
      </w:r>
      <w:r w:rsidR="00D5656C" w:rsidRPr="001A084E">
        <w:rPr>
          <w:rFonts w:asciiTheme="majorHAnsi" w:hAnsiTheme="majorHAnsi"/>
          <w:szCs w:val="24"/>
          <w:lang w:val="bs-Latn-BA"/>
        </w:rPr>
        <w:t xml:space="preserve"> Iz </w:t>
      </w:r>
      <w:r w:rsidR="00182732" w:rsidRPr="001A084E">
        <w:rPr>
          <w:rFonts w:asciiTheme="majorHAnsi" w:hAnsiTheme="majorHAnsi"/>
          <w:szCs w:val="24"/>
          <w:lang w:val="bs-Latn-BA"/>
        </w:rPr>
        <w:t>v</w:t>
      </w:r>
      <w:r w:rsidR="00D5656C" w:rsidRPr="001A084E">
        <w:rPr>
          <w:rFonts w:asciiTheme="majorHAnsi" w:hAnsiTheme="majorHAnsi"/>
          <w:szCs w:val="24"/>
          <w:lang w:val="bs-Latn-BA"/>
        </w:rPr>
        <w:t xml:space="preserve">anjskih izvora je planirano </w:t>
      </w:r>
      <w:r w:rsidR="002D79D1" w:rsidRPr="001A084E">
        <w:rPr>
          <w:rFonts w:asciiTheme="majorHAnsi" w:hAnsiTheme="majorHAnsi"/>
          <w:szCs w:val="24"/>
          <w:lang w:val="bs-Latn-BA"/>
        </w:rPr>
        <w:t>12</w:t>
      </w:r>
      <w:r w:rsidR="00F1424F" w:rsidRPr="001A084E">
        <w:rPr>
          <w:rFonts w:asciiTheme="majorHAnsi" w:hAnsiTheme="majorHAnsi"/>
          <w:szCs w:val="24"/>
          <w:lang w:val="bs-Latn-BA"/>
        </w:rPr>
        <w:t>1</w:t>
      </w:r>
      <w:r w:rsidR="009D7102" w:rsidRPr="001A084E">
        <w:rPr>
          <w:rFonts w:asciiTheme="majorHAnsi" w:hAnsiTheme="majorHAnsi"/>
          <w:szCs w:val="24"/>
          <w:lang w:val="bs-Latn-BA"/>
        </w:rPr>
        <w:t>.</w:t>
      </w:r>
      <w:r w:rsidR="005F1882" w:rsidRPr="001A084E">
        <w:rPr>
          <w:rFonts w:asciiTheme="majorHAnsi" w:hAnsiTheme="majorHAnsi"/>
          <w:szCs w:val="24"/>
          <w:lang w:val="bs-Latn-BA"/>
        </w:rPr>
        <w:t>408</w:t>
      </w:r>
      <w:r w:rsidR="009D7102" w:rsidRPr="001A084E">
        <w:rPr>
          <w:rFonts w:asciiTheme="majorHAnsi" w:hAnsiTheme="majorHAnsi"/>
          <w:szCs w:val="24"/>
          <w:lang w:val="bs-Latn-BA"/>
        </w:rPr>
        <w:t>.</w:t>
      </w:r>
      <w:r w:rsidR="005F1882" w:rsidRPr="001A084E">
        <w:rPr>
          <w:rFonts w:asciiTheme="majorHAnsi" w:hAnsiTheme="majorHAnsi"/>
          <w:szCs w:val="24"/>
          <w:lang w:val="bs-Latn-BA"/>
        </w:rPr>
        <w:t>36</w:t>
      </w:r>
      <w:r w:rsidR="002D79D1" w:rsidRPr="001A084E">
        <w:rPr>
          <w:rFonts w:asciiTheme="majorHAnsi" w:hAnsiTheme="majorHAnsi"/>
          <w:szCs w:val="24"/>
          <w:lang w:val="bs-Latn-BA"/>
        </w:rPr>
        <w:t>9</w:t>
      </w:r>
      <w:r w:rsidR="00D5656C" w:rsidRPr="001A084E">
        <w:rPr>
          <w:rFonts w:asciiTheme="majorHAnsi" w:hAnsiTheme="majorHAnsi"/>
          <w:szCs w:val="24"/>
          <w:lang w:val="bs-Latn-BA"/>
        </w:rPr>
        <w:t xml:space="preserve"> KM</w:t>
      </w:r>
      <w:r w:rsidR="009F7EDD" w:rsidRPr="001A084E">
        <w:rPr>
          <w:rFonts w:asciiTheme="majorHAnsi" w:hAnsiTheme="majorHAnsi"/>
          <w:szCs w:val="24"/>
          <w:lang w:val="bs-Latn-BA"/>
        </w:rPr>
        <w:t xml:space="preserve"> za realizaciju aktivnosti</w:t>
      </w:r>
      <w:r w:rsidR="00D5656C" w:rsidRPr="001A084E">
        <w:rPr>
          <w:rFonts w:asciiTheme="majorHAnsi" w:hAnsiTheme="majorHAnsi"/>
          <w:szCs w:val="24"/>
          <w:lang w:val="bs-Latn-BA"/>
        </w:rPr>
        <w:t>.</w:t>
      </w:r>
      <w:r w:rsidR="009F7EDD" w:rsidRPr="001A084E">
        <w:rPr>
          <w:rFonts w:asciiTheme="majorHAnsi" w:hAnsiTheme="majorHAnsi"/>
          <w:szCs w:val="24"/>
          <w:lang w:val="bs-Latn-BA"/>
        </w:rPr>
        <w:t xml:space="preserve"> </w:t>
      </w:r>
    </w:p>
    <w:p w:rsidR="00794A49" w:rsidRPr="006C7DFA" w:rsidRDefault="00D5656C" w:rsidP="00084580">
      <w:pPr>
        <w:spacing w:after="120" w:line="276" w:lineRule="auto"/>
        <w:jc w:val="both"/>
        <w:rPr>
          <w:rFonts w:asciiTheme="majorHAnsi" w:hAnsiTheme="majorHAnsi"/>
          <w:szCs w:val="24"/>
          <w:lang w:val="bs-Latn-BA"/>
        </w:rPr>
      </w:pPr>
      <w:r w:rsidRPr="001A084E">
        <w:rPr>
          <w:rFonts w:asciiTheme="majorHAnsi" w:hAnsiTheme="majorHAnsi"/>
          <w:szCs w:val="24"/>
          <w:lang w:val="bs-Latn-BA"/>
        </w:rPr>
        <w:t>Detaljan prikaz visina sredstava planiranih u sljedeće tri godine po strateškim ciljevima kao i izvor</w:t>
      </w:r>
      <w:r w:rsidR="00740AE0" w:rsidRPr="001A084E">
        <w:rPr>
          <w:rFonts w:asciiTheme="majorHAnsi" w:hAnsiTheme="majorHAnsi"/>
          <w:szCs w:val="24"/>
          <w:lang w:val="bs-Latn-BA"/>
        </w:rPr>
        <w:t>ima finan</w:t>
      </w:r>
      <w:r w:rsidR="00182732" w:rsidRPr="001A084E">
        <w:rPr>
          <w:rFonts w:asciiTheme="majorHAnsi" w:hAnsiTheme="majorHAnsi"/>
          <w:szCs w:val="24"/>
          <w:lang w:val="bs-Latn-BA"/>
        </w:rPr>
        <w:t>s</w:t>
      </w:r>
      <w:r w:rsidR="00740AE0" w:rsidRPr="001A084E">
        <w:rPr>
          <w:rFonts w:asciiTheme="majorHAnsi" w:hAnsiTheme="majorHAnsi"/>
          <w:szCs w:val="24"/>
          <w:lang w:val="bs-Latn-BA"/>
        </w:rPr>
        <w:t xml:space="preserve">iranja prikazan je u </w:t>
      </w:r>
      <w:r w:rsidR="005F6D18" w:rsidRPr="001A084E">
        <w:rPr>
          <w:rFonts w:asciiTheme="majorHAnsi" w:hAnsiTheme="majorHAnsi"/>
          <w:szCs w:val="24"/>
          <w:lang w:val="bs-Latn-BA"/>
        </w:rPr>
        <w:t>t</w:t>
      </w:r>
      <w:r w:rsidRPr="001A084E">
        <w:rPr>
          <w:rFonts w:asciiTheme="majorHAnsi" w:hAnsiTheme="majorHAnsi"/>
          <w:szCs w:val="24"/>
          <w:lang w:val="bs-Latn-BA"/>
        </w:rPr>
        <w:t xml:space="preserve">abeli </w:t>
      </w:r>
      <w:r w:rsidR="00202A43" w:rsidRPr="001A084E">
        <w:rPr>
          <w:rFonts w:asciiTheme="majorHAnsi" w:hAnsiTheme="majorHAnsi"/>
          <w:szCs w:val="24"/>
          <w:lang w:val="bs-Latn-BA"/>
        </w:rPr>
        <w:t>5</w:t>
      </w:r>
      <w:r w:rsidR="009F7EDD" w:rsidRPr="001A084E">
        <w:rPr>
          <w:rFonts w:asciiTheme="majorHAnsi" w:hAnsiTheme="majorHAnsi"/>
          <w:szCs w:val="24"/>
          <w:lang w:val="bs-Latn-BA"/>
        </w:rPr>
        <w:t>. N</w:t>
      </w:r>
      <w:r w:rsidR="00794A49" w:rsidRPr="001A084E">
        <w:rPr>
          <w:rFonts w:asciiTheme="majorHAnsi" w:hAnsiTheme="majorHAnsi"/>
          <w:szCs w:val="24"/>
          <w:lang w:val="bs-Latn-BA"/>
        </w:rPr>
        <w:t xml:space="preserve">ajviše sredstava planirano </w:t>
      </w:r>
      <w:r w:rsidR="00D61036" w:rsidRPr="001A084E">
        <w:rPr>
          <w:rFonts w:asciiTheme="majorHAnsi" w:hAnsiTheme="majorHAnsi"/>
          <w:szCs w:val="24"/>
          <w:lang w:val="bs-Latn-BA"/>
        </w:rPr>
        <w:t xml:space="preserve">je </w:t>
      </w:r>
      <w:r w:rsidR="00794A49" w:rsidRPr="001A084E">
        <w:rPr>
          <w:rFonts w:asciiTheme="majorHAnsi" w:hAnsiTheme="majorHAnsi"/>
          <w:szCs w:val="24"/>
          <w:lang w:val="bs-Latn-BA"/>
        </w:rPr>
        <w:t>u Strateškom cilju 1, dok je najmanje planirano u Strateškom cilju 5. Iz vanjskih izvora se najviše</w:t>
      </w:r>
      <w:r w:rsidR="009F7EDD" w:rsidRPr="001A084E">
        <w:rPr>
          <w:rFonts w:asciiTheme="majorHAnsi" w:hAnsiTheme="majorHAnsi"/>
          <w:szCs w:val="24"/>
          <w:lang w:val="bs-Latn-BA"/>
        </w:rPr>
        <w:t xml:space="preserve"> sredstava</w:t>
      </w:r>
      <w:r w:rsidR="00794A49" w:rsidRPr="001A084E">
        <w:rPr>
          <w:rFonts w:asciiTheme="majorHAnsi" w:hAnsiTheme="majorHAnsi"/>
          <w:szCs w:val="24"/>
          <w:lang w:val="bs-Latn-BA"/>
        </w:rPr>
        <w:t xml:space="preserve"> planira povući u Strateškom cilju 1, dok se najmanje očekuje u Strateškom cilju </w:t>
      </w:r>
      <w:r w:rsidR="002D79D1" w:rsidRPr="001A084E">
        <w:rPr>
          <w:rFonts w:asciiTheme="majorHAnsi" w:hAnsiTheme="majorHAnsi"/>
          <w:szCs w:val="24"/>
          <w:lang w:val="bs-Latn-BA"/>
        </w:rPr>
        <w:t>2</w:t>
      </w:r>
      <w:r w:rsidR="00794A49" w:rsidRPr="001A084E">
        <w:rPr>
          <w:rFonts w:asciiTheme="majorHAnsi" w:hAnsiTheme="majorHAnsi"/>
          <w:szCs w:val="24"/>
          <w:lang w:val="bs-Latn-BA"/>
        </w:rPr>
        <w:t>.</w:t>
      </w:r>
    </w:p>
    <w:p w:rsidR="009F7EDD" w:rsidRPr="006C7DFA" w:rsidRDefault="009F7EDD" w:rsidP="009F7EDD">
      <w:pPr>
        <w:pStyle w:val="Caption"/>
        <w:keepNext/>
        <w:spacing w:after="0"/>
        <w:jc w:val="center"/>
        <w:rPr>
          <w:rFonts w:asciiTheme="majorHAnsi" w:hAnsiTheme="majorHAnsi"/>
          <w:sz w:val="18"/>
          <w:szCs w:val="18"/>
          <w:lang w:val="bs-Latn-BA"/>
        </w:rPr>
      </w:pPr>
      <w:bookmarkStart w:id="8" w:name="_Toc528923130"/>
      <w:r w:rsidRPr="001A084E">
        <w:rPr>
          <w:rFonts w:asciiTheme="majorHAnsi" w:hAnsiTheme="majorHAnsi"/>
          <w:sz w:val="18"/>
          <w:szCs w:val="18"/>
          <w:lang w:val="bs-Latn-BA"/>
        </w:rPr>
        <w:lastRenderedPageBreak/>
        <w:t xml:space="preserve">Tabela </w:t>
      </w:r>
      <w:r w:rsidR="009F0446" w:rsidRPr="001A084E">
        <w:rPr>
          <w:rFonts w:asciiTheme="majorHAnsi" w:hAnsiTheme="majorHAnsi"/>
          <w:sz w:val="18"/>
          <w:szCs w:val="18"/>
          <w:lang w:val="bs-Latn-BA"/>
        </w:rPr>
        <w:fldChar w:fldCharType="begin"/>
      </w:r>
      <w:r w:rsidRPr="001A084E">
        <w:rPr>
          <w:rFonts w:asciiTheme="majorHAnsi" w:hAnsiTheme="majorHAnsi"/>
          <w:sz w:val="18"/>
          <w:szCs w:val="18"/>
          <w:lang w:val="bs-Latn-BA"/>
        </w:rPr>
        <w:instrText xml:space="preserve"> SEQ Tabela \* ARABIC </w:instrText>
      </w:r>
      <w:r w:rsidR="009F0446" w:rsidRPr="001A084E">
        <w:rPr>
          <w:rFonts w:asciiTheme="majorHAnsi" w:hAnsiTheme="majorHAnsi"/>
          <w:sz w:val="18"/>
          <w:szCs w:val="18"/>
          <w:lang w:val="bs-Latn-BA"/>
        </w:rPr>
        <w:fldChar w:fldCharType="separate"/>
      </w:r>
      <w:r w:rsidRPr="001A084E">
        <w:rPr>
          <w:rFonts w:asciiTheme="majorHAnsi" w:hAnsiTheme="majorHAnsi"/>
          <w:noProof/>
          <w:sz w:val="18"/>
          <w:szCs w:val="18"/>
          <w:lang w:val="bs-Latn-BA"/>
        </w:rPr>
        <w:t>5</w:t>
      </w:r>
      <w:r w:rsidR="009F0446" w:rsidRPr="001A084E">
        <w:rPr>
          <w:rFonts w:asciiTheme="majorHAnsi" w:hAnsiTheme="majorHAnsi"/>
          <w:sz w:val="18"/>
          <w:szCs w:val="18"/>
          <w:lang w:val="bs-Latn-BA"/>
        </w:rPr>
        <w:fldChar w:fldCharType="end"/>
      </w:r>
      <w:r w:rsidRPr="001A084E">
        <w:rPr>
          <w:rFonts w:asciiTheme="majorHAnsi" w:hAnsiTheme="majorHAnsi"/>
          <w:sz w:val="18"/>
          <w:szCs w:val="18"/>
          <w:lang w:val="bs-Latn-BA"/>
        </w:rPr>
        <w:t xml:space="preserve">. Struktura finansiranja po strateškim ciljevima i izvorima finansiranja 2019.-2021. </w:t>
      </w:r>
      <w:r w:rsidR="00266C99" w:rsidRPr="001A084E">
        <w:rPr>
          <w:rFonts w:asciiTheme="majorHAnsi" w:hAnsiTheme="majorHAnsi"/>
          <w:sz w:val="18"/>
          <w:szCs w:val="18"/>
          <w:lang w:val="bs-Latn-BA"/>
        </w:rPr>
        <w:t>g</w:t>
      </w:r>
      <w:r w:rsidRPr="001A084E">
        <w:rPr>
          <w:rFonts w:asciiTheme="majorHAnsi" w:hAnsiTheme="majorHAnsi"/>
          <w:sz w:val="18"/>
          <w:szCs w:val="18"/>
          <w:lang w:val="bs-Latn-BA"/>
        </w:rPr>
        <w:t>odina</w:t>
      </w:r>
      <w:bookmarkEnd w:id="8"/>
    </w:p>
    <w:tbl>
      <w:tblPr>
        <w:tblW w:w="9690" w:type="dxa"/>
        <w:jc w:val="center"/>
        <w:tblInd w:w="98" w:type="dxa"/>
        <w:tblLook w:val="04A0"/>
      </w:tblPr>
      <w:tblGrid>
        <w:gridCol w:w="4621"/>
        <w:gridCol w:w="1275"/>
        <w:gridCol w:w="1244"/>
        <w:gridCol w:w="1275"/>
        <w:gridCol w:w="1275"/>
      </w:tblGrid>
      <w:tr w:rsidR="00266C99" w:rsidRPr="006C7DFA" w:rsidTr="00266C99">
        <w:trPr>
          <w:trHeight w:val="1027"/>
          <w:jc w:val="center"/>
        </w:trPr>
        <w:tc>
          <w:tcPr>
            <w:tcW w:w="4621" w:type="dxa"/>
            <w:tcBorders>
              <w:top w:val="single" w:sz="8" w:space="0" w:color="7BA0CD"/>
              <w:left w:val="single" w:sz="8" w:space="0" w:color="7BA0CD"/>
              <w:bottom w:val="single" w:sz="8" w:space="0" w:color="7BA0CD"/>
              <w:right w:val="dotted" w:sz="4" w:space="0" w:color="4F81BD"/>
            </w:tcBorders>
            <w:shd w:val="clear" w:color="000000" w:fill="4F81BD"/>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w:t>
            </w:r>
          </w:p>
        </w:tc>
        <w:tc>
          <w:tcPr>
            <w:tcW w:w="1275" w:type="dxa"/>
            <w:tcBorders>
              <w:top w:val="single" w:sz="8" w:space="0" w:color="7BA0CD"/>
              <w:left w:val="nil"/>
              <w:bottom w:val="single" w:sz="8" w:space="0" w:color="7BA0CD"/>
              <w:right w:val="dotted" w:sz="4" w:space="0" w:color="4F81BD"/>
            </w:tcBorders>
            <w:shd w:val="clear" w:color="000000" w:fill="4F81BD"/>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2019-2020</w:t>
            </w:r>
          </w:p>
        </w:tc>
        <w:tc>
          <w:tcPr>
            <w:tcW w:w="1244" w:type="dxa"/>
            <w:tcBorders>
              <w:top w:val="single" w:sz="8" w:space="0" w:color="7BA0CD"/>
              <w:left w:val="nil"/>
              <w:bottom w:val="single" w:sz="8" w:space="0" w:color="7BA0CD"/>
              <w:right w:val="dotted" w:sz="4" w:space="0" w:color="4F81BD"/>
            </w:tcBorders>
            <w:shd w:val="clear" w:color="000000" w:fill="4F81BD"/>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 xml:space="preserve">Vlastita budžetska sredstva </w:t>
            </w:r>
          </w:p>
        </w:tc>
        <w:tc>
          <w:tcPr>
            <w:tcW w:w="1275" w:type="dxa"/>
            <w:tcBorders>
              <w:top w:val="single" w:sz="8" w:space="0" w:color="7BA0CD"/>
              <w:left w:val="nil"/>
              <w:bottom w:val="single" w:sz="8" w:space="0" w:color="7BA0CD"/>
              <w:right w:val="dotted" w:sz="4" w:space="0" w:color="4F81BD"/>
            </w:tcBorders>
            <w:shd w:val="clear" w:color="000000" w:fill="4F81BD"/>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 xml:space="preserve">Ostala budžetska sredstva </w:t>
            </w:r>
          </w:p>
        </w:tc>
        <w:tc>
          <w:tcPr>
            <w:tcW w:w="1275" w:type="dxa"/>
            <w:tcBorders>
              <w:top w:val="single" w:sz="8" w:space="0" w:color="7BA0CD"/>
              <w:left w:val="nil"/>
              <w:bottom w:val="single" w:sz="8" w:space="0" w:color="7BA0CD"/>
              <w:right w:val="single" w:sz="8" w:space="0" w:color="7BA0CD"/>
            </w:tcBorders>
            <w:shd w:val="clear" w:color="000000" w:fill="4F81BD"/>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 xml:space="preserve">Vanjski izvori </w:t>
            </w:r>
          </w:p>
        </w:tc>
      </w:tr>
      <w:tr w:rsidR="00266C99" w:rsidRPr="006C7DFA" w:rsidTr="00266C99">
        <w:trPr>
          <w:trHeight w:val="691"/>
          <w:jc w:val="center"/>
        </w:trPr>
        <w:tc>
          <w:tcPr>
            <w:tcW w:w="4621"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 1: Osigurati stabilnost i prosperitet razvoja privrede Tuzlanskog kantona (ekonomski razvoj).</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5F1882">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5F1882">
              <w:rPr>
                <w:rFonts w:ascii="Cambria" w:eastAsia="Times New Roman" w:hAnsi="Cambria"/>
                <w:color w:val="000000"/>
                <w:sz w:val="18"/>
                <w:szCs w:val="18"/>
                <w:lang w:val="bs-Latn-BA"/>
              </w:rPr>
              <w:t>58</w:t>
            </w:r>
            <w:r w:rsidRPr="006C7DFA">
              <w:rPr>
                <w:rFonts w:ascii="Cambria" w:eastAsia="Times New Roman" w:hAnsi="Cambria"/>
                <w:color w:val="000000"/>
                <w:sz w:val="18"/>
                <w:szCs w:val="18"/>
                <w:lang w:val="bs-Latn-BA"/>
              </w:rPr>
              <w:t>.</w:t>
            </w:r>
            <w:r w:rsidR="005F1882">
              <w:rPr>
                <w:rFonts w:ascii="Cambria" w:eastAsia="Times New Roman" w:hAnsi="Cambria"/>
                <w:color w:val="000000"/>
                <w:sz w:val="18"/>
                <w:szCs w:val="18"/>
                <w:lang w:val="bs-Latn-BA"/>
              </w:rPr>
              <w:t>883</w:t>
            </w:r>
            <w:r w:rsidRPr="006C7DFA">
              <w:rPr>
                <w:rFonts w:ascii="Cambria" w:eastAsia="Times New Roman" w:hAnsi="Cambria"/>
                <w:color w:val="000000"/>
                <w:sz w:val="18"/>
                <w:szCs w:val="18"/>
                <w:lang w:val="bs-Latn-BA"/>
              </w:rPr>
              <w:t>.</w:t>
            </w:r>
            <w:r w:rsidR="005F1882">
              <w:rPr>
                <w:rFonts w:ascii="Cambria" w:eastAsia="Times New Roman" w:hAnsi="Cambria"/>
                <w:color w:val="000000"/>
                <w:sz w:val="18"/>
                <w:szCs w:val="18"/>
                <w:lang w:val="bs-Latn-BA"/>
              </w:rPr>
              <w:t>767</w:t>
            </w:r>
          </w:p>
        </w:tc>
        <w:tc>
          <w:tcPr>
            <w:tcW w:w="1244"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5F1882">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19.</w:t>
            </w:r>
            <w:r w:rsidR="005F1882">
              <w:rPr>
                <w:rFonts w:ascii="Cambria" w:eastAsia="Times New Roman" w:hAnsi="Cambria"/>
                <w:color w:val="000000"/>
                <w:sz w:val="18"/>
                <w:szCs w:val="18"/>
                <w:lang w:val="bs-Latn-BA"/>
              </w:rPr>
              <w:t>396</w:t>
            </w:r>
            <w:r w:rsidRPr="006C7DFA">
              <w:rPr>
                <w:rFonts w:ascii="Cambria" w:eastAsia="Times New Roman" w:hAnsi="Cambria"/>
                <w:color w:val="000000"/>
                <w:sz w:val="18"/>
                <w:szCs w:val="18"/>
                <w:lang w:val="bs-Latn-BA"/>
              </w:rPr>
              <w:t>.</w:t>
            </w:r>
            <w:r w:rsidR="005F1882">
              <w:rPr>
                <w:rFonts w:ascii="Cambria" w:eastAsia="Times New Roman" w:hAnsi="Cambria"/>
                <w:color w:val="000000"/>
                <w:sz w:val="18"/>
                <w:szCs w:val="18"/>
                <w:lang w:val="bs-Latn-BA"/>
              </w:rPr>
              <w:t>933</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5F1882">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w:t>
            </w:r>
            <w:r w:rsidR="005F1882">
              <w:rPr>
                <w:rFonts w:ascii="Cambria" w:eastAsia="Times New Roman" w:hAnsi="Cambria"/>
                <w:color w:val="000000"/>
                <w:sz w:val="18"/>
                <w:szCs w:val="18"/>
                <w:lang w:val="bs-Latn-BA"/>
              </w:rPr>
              <w:t>8</w:t>
            </w:r>
            <w:r w:rsidRPr="006C7DFA">
              <w:rPr>
                <w:rFonts w:ascii="Cambria" w:eastAsia="Times New Roman" w:hAnsi="Cambria"/>
                <w:color w:val="000000"/>
                <w:sz w:val="18"/>
                <w:szCs w:val="18"/>
                <w:lang w:val="bs-Latn-BA"/>
              </w:rPr>
              <w:t>.</w:t>
            </w:r>
            <w:r w:rsidR="005F1882">
              <w:rPr>
                <w:rFonts w:ascii="Cambria" w:eastAsia="Times New Roman" w:hAnsi="Cambria"/>
                <w:color w:val="000000"/>
                <w:sz w:val="18"/>
                <w:szCs w:val="18"/>
                <w:lang w:val="bs-Latn-BA"/>
              </w:rPr>
              <w:t>19</w:t>
            </w:r>
            <w:r w:rsidRPr="006C7DFA">
              <w:rPr>
                <w:rFonts w:ascii="Cambria" w:eastAsia="Times New Roman" w:hAnsi="Cambria"/>
                <w:color w:val="000000"/>
                <w:sz w:val="18"/>
                <w:szCs w:val="18"/>
                <w:lang w:val="bs-Latn-BA"/>
              </w:rPr>
              <w:t>4.000</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5F1882">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95.</w:t>
            </w:r>
            <w:r w:rsidR="005F1882">
              <w:rPr>
                <w:rFonts w:ascii="Cambria" w:eastAsia="Times New Roman" w:hAnsi="Cambria"/>
                <w:color w:val="000000"/>
                <w:sz w:val="18"/>
                <w:szCs w:val="18"/>
                <w:lang w:val="bs-Latn-BA"/>
              </w:rPr>
              <w:t>439</w:t>
            </w:r>
            <w:r w:rsidRPr="006C7DFA">
              <w:rPr>
                <w:rFonts w:ascii="Cambria" w:eastAsia="Times New Roman" w:hAnsi="Cambria"/>
                <w:color w:val="000000"/>
                <w:sz w:val="18"/>
                <w:szCs w:val="18"/>
                <w:lang w:val="bs-Latn-BA"/>
              </w:rPr>
              <w:t>.</w:t>
            </w:r>
            <w:r w:rsidR="005F1882">
              <w:rPr>
                <w:rFonts w:ascii="Cambria" w:eastAsia="Times New Roman" w:hAnsi="Cambria"/>
                <w:color w:val="000000"/>
                <w:sz w:val="18"/>
                <w:szCs w:val="18"/>
                <w:lang w:val="bs-Latn-BA"/>
              </w:rPr>
              <w:t>50</w:t>
            </w:r>
            <w:r w:rsidRPr="006C7DFA">
              <w:rPr>
                <w:rFonts w:ascii="Cambria" w:eastAsia="Times New Roman" w:hAnsi="Cambria"/>
                <w:color w:val="000000"/>
                <w:sz w:val="18"/>
                <w:szCs w:val="18"/>
                <w:lang w:val="bs-Latn-BA"/>
              </w:rPr>
              <w:t>0</w:t>
            </w:r>
          </w:p>
        </w:tc>
      </w:tr>
      <w:tr w:rsidR="00266C99" w:rsidRPr="006C7DFA" w:rsidTr="00266C99">
        <w:trPr>
          <w:trHeight w:val="1027"/>
          <w:jc w:val="center"/>
        </w:trPr>
        <w:tc>
          <w:tcPr>
            <w:tcW w:w="4621"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 2: Uspostaviti efikasne sisteme upravljanja razvojem ljudskih potencijala i tržišta rada, u cilju povećanja zapošljavanja (društveni razvoj)</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66.257.462</w:t>
            </w:r>
          </w:p>
        </w:tc>
        <w:tc>
          <w:tcPr>
            <w:tcW w:w="1244"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D79D1">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26.</w:t>
            </w:r>
            <w:r w:rsidR="002D79D1" w:rsidRPr="006C7DFA">
              <w:rPr>
                <w:rFonts w:ascii="Cambria" w:eastAsia="Times New Roman" w:hAnsi="Cambria"/>
                <w:color w:val="000000"/>
                <w:sz w:val="18"/>
                <w:szCs w:val="18"/>
                <w:lang w:val="bs-Latn-BA"/>
              </w:rPr>
              <w:t>174</w:t>
            </w:r>
            <w:r w:rsidRPr="006C7DFA">
              <w:rPr>
                <w:rFonts w:ascii="Cambria" w:eastAsia="Times New Roman" w:hAnsi="Cambria"/>
                <w:color w:val="000000"/>
                <w:sz w:val="18"/>
                <w:szCs w:val="18"/>
                <w:lang w:val="bs-Latn-BA"/>
              </w:rPr>
              <w:t>.900</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38.660.497</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2.256.667</w:t>
            </w:r>
          </w:p>
        </w:tc>
      </w:tr>
      <w:tr w:rsidR="00266C99" w:rsidRPr="006C7DFA" w:rsidTr="00266C99">
        <w:trPr>
          <w:trHeight w:val="1027"/>
          <w:jc w:val="center"/>
        </w:trPr>
        <w:tc>
          <w:tcPr>
            <w:tcW w:w="4621"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 3: Poboljšati kvalitetu života, sigurnost i socijalnu uključenost građana i učiniti politiku socijalne zaštite pravičnom i djelotvornom</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D79D1" w:rsidP="005B5A20">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90</w:t>
            </w:r>
            <w:r w:rsidR="00266C99" w:rsidRPr="006C7DFA">
              <w:rPr>
                <w:rFonts w:ascii="Cambria" w:eastAsia="Times New Roman" w:hAnsi="Cambria"/>
                <w:color w:val="000000"/>
                <w:sz w:val="18"/>
                <w:szCs w:val="18"/>
                <w:lang w:val="bs-Latn-BA"/>
              </w:rPr>
              <w:t>.</w:t>
            </w:r>
            <w:r w:rsidR="005B5A20">
              <w:rPr>
                <w:rFonts w:ascii="Cambria" w:eastAsia="Times New Roman" w:hAnsi="Cambria"/>
                <w:color w:val="000000"/>
                <w:sz w:val="18"/>
                <w:szCs w:val="18"/>
                <w:lang w:val="bs-Latn-BA"/>
              </w:rPr>
              <w:t>854</w:t>
            </w:r>
            <w:r w:rsidR="00266C99" w:rsidRPr="006C7DFA">
              <w:rPr>
                <w:rFonts w:ascii="Cambria" w:eastAsia="Times New Roman" w:hAnsi="Cambria"/>
                <w:color w:val="000000"/>
                <w:sz w:val="18"/>
                <w:szCs w:val="18"/>
                <w:lang w:val="bs-Latn-BA"/>
              </w:rPr>
              <w:t>.</w:t>
            </w:r>
            <w:r w:rsidR="008C1DA1" w:rsidRPr="006C7DFA">
              <w:rPr>
                <w:rFonts w:ascii="Cambria" w:eastAsia="Times New Roman" w:hAnsi="Cambria"/>
                <w:color w:val="000000"/>
                <w:sz w:val="18"/>
                <w:szCs w:val="18"/>
                <w:lang w:val="bs-Latn-BA"/>
              </w:rPr>
              <w:t>4</w:t>
            </w:r>
            <w:r w:rsidR="00266C99" w:rsidRPr="006C7DFA">
              <w:rPr>
                <w:rFonts w:ascii="Cambria" w:eastAsia="Times New Roman" w:hAnsi="Cambria"/>
                <w:color w:val="000000"/>
                <w:sz w:val="18"/>
                <w:szCs w:val="18"/>
                <w:lang w:val="bs-Latn-BA"/>
              </w:rPr>
              <w:t>17</w:t>
            </w:r>
          </w:p>
        </w:tc>
        <w:tc>
          <w:tcPr>
            <w:tcW w:w="1244"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D79D1" w:rsidP="005B5A20">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32</w:t>
            </w:r>
            <w:r w:rsidR="00266C99" w:rsidRPr="006C7DFA">
              <w:rPr>
                <w:rFonts w:ascii="Cambria" w:eastAsia="Times New Roman" w:hAnsi="Cambria"/>
                <w:color w:val="000000"/>
                <w:sz w:val="18"/>
                <w:szCs w:val="18"/>
                <w:lang w:val="bs-Latn-BA"/>
              </w:rPr>
              <w:t>.</w:t>
            </w:r>
            <w:r w:rsidR="005B5A20">
              <w:rPr>
                <w:rFonts w:ascii="Cambria" w:eastAsia="Times New Roman" w:hAnsi="Cambria"/>
                <w:color w:val="000000"/>
                <w:sz w:val="18"/>
                <w:szCs w:val="18"/>
                <w:lang w:val="bs-Latn-BA"/>
              </w:rPr>
              <w:t>584</w:t>
            </w:r>
            <w:r w:rsidR="00266C99" w:rsidRPr="006C7DFA">
              <w:rPr>
                <w:rFonts w:ascii="Cambria" w:eastAsia="Times New Roman" w:hAnsi="Cambria"/>
                <w:color w:val="000000"/>
                <w:sz w:val="18"/>
                <w:szCs w:val="18"/>
                <w:lang w:val="bs-Latn-BA"/>
              </w:rPr>
              <w:t>.</w:t>
            </w:r>
            <w:r w:rsidR="008C1DA1" w:rsidRPr="006C7DFA">
              <w:rPr>
                <w:rFonts w:ascii="Cambria" w:eastAsia="Times New Roman" w:hAnsi="Cambria"/>
                <w:color w:val="000000"/>
                <w:sz w:val="18"/>
                <w:szCs w:val="18"/>
                <w:lang w:val="bs-Latn-BA"/>
              </w:rPr>
              <w:t>0</w:t>
            </w:r>
            <w:r w:rsidR="00266C99" w:rsidRPr="006C7DFA">
              <w:rPr>
                <w:rFonts w:ascii="Cambria" w:eastAsia="Times New Roman" w:hAnsi="Cambria"/>
                <w:color w:val="000000"/>
                <w:sz w:val="18"/>
                <w:szCs w:val="18"/>
                <w:lang w:val="bs-Latn-BA"/>
              </w:rPr>
              <w:t>22</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D79D1">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5.8</w:t>
            </w:r>
            <w:r w:rsidR="002D79D1" w:rsidRPr="006C7DFA">
              <w:rPr>
                <w:rFonts w:ascii="Cambria" w:eastAsia="Times New Roman" w:hAnsi="Cambria"/>
                <w:color w:val="000000"/>
                <w:sz w:val="18"/>
                <w:szCs w:val="18"/>
                <w:lang w:val="bs-Latn-BA"/>
              </w:rPr>
              <w:t>5</w:t>
            </w:r>
            <w:r w:rsidRPr="006C7DFA">
              <w:rPr>
                <w:rFonts w:ascii="Cambria" w:eastAsia="Times New Roman" w:hAnsi="Cambria"/>
                <w:color w:val="000000"/>
                <w:sz w:val="18"/>
                <w:szCs w:val="18"/>
                <w:lang w:val="bs-Latn-BA"/>
              </w:rPr>
              <w:t>5.500</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D79D1" w:rsidP="002D79D1">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w:t>
            </w:r>
            <w:r w:rsidR="00266C99" w:rsidRPr="006C7DFA">
              <w:rPr>
                <w:rFonts w:ascii="Cambria" w:eastAsia="Times New Roman" w:hAnsi="Cambria"/>
                <w:color w:val="000000"/>
                <w:sz w:val="18"/>
                <w:szCs w:val="18"/>
                <w:lang w:val="bs-Latn-BA"/>
              </w:rPr>
              <w:t>.</w:t>
            </w:r>
            <w:r w:rsidRPr="006C7DFA">
              <w:rPr>
                <w:rFonts w:ascii="Cambria" w:eastAsia="Times New Roman" w:hAnsi="Cambria"/>
                <w:color w:val="000000"/>
                <w:sz w:val="18"/>
                <w:szCs w:val="18"/>
                <w:lang w:val="bs-Latn-BA"/>
              </w:rPr>
              <w:t>6</w:t>
            </w:r>
            <w:r w:rsidR="00266C99" w:rsidRPr="006C7DFA">
              <w:rPr>
                <w:rFonts w:ascii="Cambria" w:eastAsia="Times New Roman" w:hAnsi="Cambria"/>
                <w:color w:val="000000"/>
                <w:sz w:val="18"/>
                <w:szCs w:val="18"/>
                <w:lang w:val="bs-Latn-BA"/>
              </w:rPr>
              <w:t>03.310</w:t>
            </w:r>
          </w:p>
        </w:tc>
      </w:tr>
      <w:tr w:rsidR="00266C99" w:rsidRPr="006C7DFA" w:rsidTr="00266C99">
        <w:trPr>
          <w:trHeight w:val="1027"/>
          <w:jc w:val="center"/>
        </w:trPr>
        <w:tc>
          <w:tcPr>
            <w:tcW w:w="4621"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 4: Modernizovati i učiniti ekonomski održivom javnu infrastrukturu, prvenstveno saobraćajnu, vodnu i energetsku.</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35.264.360</w:t>
            </w:r>
          </w:p>
        </w:tc>
        <w:tc>
          <w:tcPr>
            <w:tcW w:w="1244"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15.048.516</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15.277.675</w:t>
            </w:r>
          </w:p>
        </w:tc>
        <w:tc>
          <w:tcPr>
            <w:tcW w:w="1275" w:type="dxa"/>
            <w:tcBorders>
              <w:top w:val="nil"/>
              <w:left w:val="single" w:sz="8" w:space="0" w:color="7BA0CD"/>
              <w:bottom w:val="single" w:sz="8" w:space="0" w:color="7BA0CD"/>
              <w:right w:val="dotted" w:sz="4" w:space="0" w:color="4F81BD"/>
            </w:tcBorders>
            <w:shd w:val="clear" w:color="auto" w:fill="auto"/>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10.958.600</w:t>
            </w:r>
          </w:p>
        </w:tc>
      </w:tr>
      <w:tr w:rsidR="00266C99" w:rsidRPr="006C7DFA" w:rsidTr="00266C99">
        <w:trPr>
          <w:trHeight w:val="691"/>
          <w:jc w:val="center"/>
        </w:trPr>
        <w:tc>
          <w:tcPr>
            <w:tcW w:w="4621"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Strateški cilj 5: Uspostaviti funkcionalan sistem zaštite okoliša i održivog upravljanja prirodnim resursima</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DB72C1">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DB72C1">
              <w:rPr>
                <w:rFonts w:ascii="Cambria" w:eastAsia="Times New Roman" w:hAnsi="Cambria"/>
                <w:color w:val="000000"/>
                <w:sz w:val="18"/>
                <w:szCs w:val="18"/>
                <w:lang w:val="bs-Latn-BA"/>
              </w:rPr>
              <w:t>6</w:t>
            </w:r>
            <w:r w:rsidRPr="006C7DFA">
              <w:rPr>
                <w:rFonts w:ascii="Cambria" w:eastAsia="Times New Roman" w:hAnsi="Cambria"/>
                <w:color w:val="000000"/>
                <w:sz w:val="18"/>
                <w:szCs w:val="18"/>
                <w:lang w:val="bs-Latn-BA"/>
              </w:rPr>
              <w:t>.</w:t>
            </w:r>
            <w:r w:rsidR="00DB72C1">
              <w:rPr>
                <w:rFonts w:ascii="Cambria" w:eastAsia="Times New Roman" w:hAnsi="Cambria"/>
                <w:color w:val="000000"/>
                <w:sz w:val="18"/>
                <w:szCs w:val="18"/>
                <w:lang w:val="bs-Latn-BA"/>
              </w:rPr>
              <w:t>18</w:t>
            </w:r>
            <w:r w:rsidRPr="006C7DFA">
              <w:rPr>
                <w:rFonts w:ascii="Cambria" w:eastAsia="Times New Roman" w:hAnsi="Cambria"/>
                <w:color w:val="000000"/>
                <w:sz w:val="18"/>
                <w:szCs w:val="18"/>
                <w:lang w:val="bs-Latn-BA"/>
              </w:rPr>
              <w:t>8.751</w:t>
            </w:r>
          </w:p>
        </w:tc>
        <w:tc>
          <w:tcPr>
            <w:tcW w:w="1244"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D79D1">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w:t>
            </w:r>
            <w:r w:rsidR="002D79D1" w:rsidRPr="006C7DFA">
              <w:rPr>
                <w:rFonts w:ascii="Cambria" w:eastAsia="Times New Roman" w:hAnsi="Cambria"/>
                <w:color w:val="000000"/>
                <w:sz w:val="18"/>
                <w:szCs w:val="18"/>
                <w:lang w:val="bs-Latn-BA"/>
              </w:rPr>
              <w:t>69</w:t>
            </w:r>
            <w:r w:rsidRPr="006C7DFA">
              <w:rPr>
                <w:rFonts w:ascii="Cambria" w:eastAsia="Times New Roman" w:hAnsi="Cambria"/>
                <w:color w:val="000000"/>
                <w:sz w:val="18"/>
                <w:szCs w:val="18"/>
                <w:lang w:val="bs-Latn-BA"/>
              </w:rPr>
              <w:t>6.646</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266C99" w:rsidP="00266C99">
            <w:pPr>
              <w:jc w:val="cente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8.961.709</w:t>
            </w:r>
          </w:p>
        </w:tc>
        <w:tc>
          <w:tcPr>
            <w:tcW w:w="1275" w:type="dxa"/>
            <w:tcBorders>
              <w:top w:val="nil"/>
              <w:left w:val="single" w:sz="8" w:space="0" w:color="7BA0CD"/>
              <w:bottom w:val="single" w:sz="8" w:space="0" w:color="7BA0CD"/>
              <w:right w:val="dotted" w:sz="4" w:space="0" w:color="4F81BD"/>
            </w:tcBorders>
            <w:shd w:val="clear" w:color="000000" w:fill="D3DFEE"/>
            <w:vAlign w:val="center"/>
            <w:hideMark/>
          </w:tcPr>
          <w:p w:rsidR="00266C99" w:rsidRPr="006C7DFA" w:rsidRDefault="00DB72C1" w:rsidP="00DB72C1">
            <w:pPr>
              <w:jc w:val="center"/>
              <w:rPr>
                <w:rFonts w:ascii="Cambria" w:eastAsia="Times New Roman" w:hAnsi="Cambria"/>
                <w:color w:val="000000"/>
                <w:sz w:val="18"/>
                <w:szCs w:val="18"/>
                <w:lang w:val="bs-Latn-BA"/>
              </w:rPr>
            </w:pPr>
            <w:r>
              <w:rPr>
                <w:rFonts w:ascii="Cambria" w:eastAsia="Times New Roman" w:hAnsi="Cambria"/>
                <w:color w:val="000000"/>
                <w:sz w:val="18"/>
                <w:szCs w:val="18"/>
                <w:lang w:val="bs-Latn-BA"/>
              </w:rPr>
              <w:t>4</w:t>
            </w:r>
            <w:r w:rsidR="00266C99" w:rsidRPr="006C7DFA">
              <w:rPr>
                <w:rFonts w:ascii="Cambria" w:eastAsia="Times New Roman" w:hAnsi="Cambria"/>
                <w:color w:val="000000"/>
                <w:sz w:val="18"/>
                <w:szCs w:val="18"/>
                <w:lang w:val="bs-Latn-BA"/>
              </w:rPr>
              <w:t>.</w:t>
            </w:r>
            <w:r>
              <w:rPr>
                <w:rFonts w:ascii="Cambria" w:eastAsia="Times New Roman" w:hAnsi="Cambria"/>
                <w:color w:val="000000"/>
                <w:sz w:val="18"/>
                <w:szCs w:val="18"/>
                <w:lang w:val="bs-Latn-BA"/>
              </w:rPr>
              <w:t>15</w:t>
            </w:r>
            <w:r w:rsidR="00266C99" w:rsidRPr="006C7DFA">
              <w:rPr>
                <w:rFonts w:ascii="Cambria" w:eastAsia="Times New Roman" w:hAnsi="Cambria"/>
                <w:color w:val="000000"/>
                <w:sz w:val="18"/>
                <w:szCs w:val="18"/>
                <w:lang w:val="bs-Latn-BA"/>
              </w:rPr>
              <w:t>0.292</w:t>
            </w:r>
          </w:p>
        </w:tc>
      </w:tr>
      <w:tr w:rsidR="00266C99" w:rsidRPr="006C7DFA" w:rsidTr="00266C99">
        <w:trPr>
          <w:trHeight w:val="441"/>
          <w:jc w:val="center"/>
        </w:trPr>
        <w:tc>
          <w:tcPr>
            <w:tcW w:w="4621" w:type="dxa"/>
            <w:tcBorders>
              <w:top w:val="nil"/>
              <w:left w:val="single" w:sz="8" w:space="0" w:color="7BA0CD"/>
              <w:bottom w:val="single" w:sz="8" w:space="0" w:color="7BA0CD"/>
              <w:right w:val="dotted" w:sz="4" w:space="0" w:color="4F81BD"/>
            </w:tcBorders>
            <w:shd w:val="clear" w:color="auto" w:fill="auto"/>
            <w:noWrap/>
            <w:vAlign w:val="center"/>
            <w:hideMark/>
          </w:tcPr>
          <w:p w:rsidR="00266C99" w:rsidRPr="006C7DFA" w:rsidRDefault="00266C99" w:rsidP="00266C99">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UKUPNO </w:t>
            </w:r>
          </w:p>
        </w:tc>
        <w:tc>
          <w:tcPr>
            <w:tcW w:w="1275" w:type="dxa"/>
            <w:tcBorders>
              <w:top w:val="nil"/>
              <w:left w:val="single" w:sz="8" w:space="0" w:color="7BA0CD"/>
              <w:bottom w:val="single" w:sz="8" w:space="0" w:color="7BA0CD"/>
              <w:right w:val="dotted" w:sz="4" w:space="0" w:color="4F81BD"/>
            </w:tcBorders>
            <w:shd w:val="clear" w:color="auto" w:fill="auto"/>
            <w:noWrap/>
            <w:vAlign w:val="center"/>
            <w:hideMark/>
          </w:tcPr>
          <w:p w:rsidR="00266C99" w:rsidRPr="006C7DFA" w:rsidRDefault="00266C99" w:rsidP="005B5A20">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3</w:t>
            </w:r>
            <w:r w:rsidR="002D79D1" w:rsidRPr="006C7DFA">
              <w:rPr>
                <w:rFonts w:ascii="Cambria" w:eastAsia="Times New Roman" w:hAnsi="Cambria"/>
                <w:b/>
                <w:bCs/>
                <w:color w:val="000000"/>
                <w:sz w:val="18"/>
                <w:szCs w:val="18"/>
                <w:lang w:val="bs-Latn-BA"/>
              </w:rPr>
              <w:t>6</w:t>
            </w:r>
            <w:r w:rsidR="005B5A20">
              <w:rPr>
                <w:rFonts w:ascii="Cambria" w:eastAsia="Times New Roman" w:hAnsi="Cambria"/>
                <w:b/>
                <w:bCs/>
                <w:color w:val="000000"/>
                <w:sz w:val="18"/>
                <w:szCs w:val="18"/>
                <w:lang w:val="bs-Latn-BA"/>
              </w:rPr>
              <w:t>7</w:t>
            </w:r>
            <w:r w:rsidRPr="006C7DFA">
              <w:rPr>
                <w:rFonts w:ascii="Cambria" w:eastAsia="Times New Roman" w:hAnsi="Cambria"/>
                <w:b/>
                <w:bCs/>
                <w:color w:val="000000"/>
                <w:sz w:val="18"/>
                <w:szCs w:val="18"/>
                <w:lang w:val="bs-Latn-BA"/>
              </w:rPr>
              <w:t>.</w:t>
            </w:r>
            <w:r w:rsidR="005B5A20">
              <w:rPr>
                <w:rFonts w:ascii="Cambria" w:eastAsia="Times New Roman" w:hAnsi="Cambria"/>
                <w:b/>
                <w:bCs/>
                <w:color w:val="000000"/>
                <w:sz w:val="18"/>
                <w:szCs w:val="18"/>
                <w:lang w:val="bs-Latn-BA"/>
              </w:rPr>
              <w:t>448</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757</w:t>
            </w:r>
          </w:p>
        </w:tc>
        <w:tc>
          <w:tcPr>
            <w:tcW w:w="1244" w:type="dxa"/>
            <w:tcBorders>
              <w:top w:val="nil"/>
              <w:left w:val="single" w:sz="8" w:space="0" w:color="7BA0CD"/>
              <w:bottom w:val="single" w:sz="8" w:space="0" w:color="7BA0CD"/>
              <w:right w:val="dotted" w:sz="4" w:space="0" w:color="4F81BD"/>
            </w:tcBorders>
            <w:shd w:val="clear" w:color="auto" w:fill="auto"/>
            <w:noWrap/>
            <w:vAlign w:val="center"/>
            <w:hideMark/>
          </w:tcPr>
          <w:p w:rsidR="00266C99" w:rsidRPr="006C7DFA" w:rsidRDefault="002D79D1" w:rsidP="005B5A20">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95</w:t>
            </w:r>
            <w:r w:rsidR="00266C99" w:rsidRPr="006C7DFA">
              <w:rPr>
                <w:rFonts w:ascii="Cambria" w:eastAsia="Times New Roman" w:hAnsi="Cambria"/>
                <w:b/>
                <w:bCs/>
                <w:color w:val="000000"/>
                <w:sz w:val="18"/>
                <w:szCs w:val="18"/>
                <w:lang w:val="bs-Latn-BA"/>
              </w:rPr>
              <w:t>.</w:t>
            </w:r>
            <w:r w:rsidR="005B5A20">
              <w:rPr>
                <w:rFonts w:ascii="Cambria" w:eastAsia="Times New Roman" w:hAnsi="Cambria"/>
                <w:b/>
                <w:bCs/>
                <w:color w:val="000000"/>
                <w:sz w:val="18"/>
                <w:szCs w:val="18"/>
                <w:lang w:val="bs-Latn-BA"/>
              </w:rPr>
              <w:t>901</w:t>
            </w:r>
            <w:r w:rsidR="00266C99"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017</w:t>
            </w:r>
          </w:p>
        </w:tc>
        <w:tc>
          <w:tcPr>
            <w:tcW w:w="1275" w:type="dxa"/>
            <w:tcBorders>
              <w:top w:val="nil"/>
              <w:left w:val="single" w:sz="8" w:space="0" w:color="7BA0CD"/>
              <w:bottom w:val="single" w:sz="8" w:space="0" w:color="7BA0CD"/>
              <w:right w:val="dotted" w:sz="4" w:space="0" w:color="4F81BD"/>
            </w:tcBorders>
            <w:shd w:val="clear" w:color="auto" w:fill="auto"/>
            <w:noWrap/>
            <w:vAlign w:val="center"/>
            <w:hideMark/>
          </w:tcPr>
          <w:p w:rsidR="00266C99" w:rsidRPr="006C7DFA" w:rsidRDefault="00266C99" w:rsidP="00DB72C1">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116.</w:t>
            </w:r>
            <w:r w:rsidR="00DB72C1">
              <w:rPr>
                <w:rFonts w:ascii="Cambria" w:eastAsia="Times New Roman" w:hAnsi="Cambria"/>
                <w:b/>
                <w:bCs/>
                <w:color w:val="000000"/>
                <w:sz w:val="18"/>
                <w:szCs w:val="18"/>
                <w:lang w:val="bs-Latn-BA"/>
              </w:rPr>
              <w:t>949</w:t>
            </w:r>
            <w:r w:rsidRPr="006C7DFA">
              <w:rPr>
                <w:rFonts w:ascii="Cambria" w:eastAsia="Times New Roman" w:hAnsi="Cambria"/>
                <w:b/>
                <w:bCs/>
                <w:color w:val="000000"/>
                <w:sz w:val="18"/>
                <w:szCs w:val="18"/>
                <w:lang w:val="bs-Latn-BA"/>
              </w:rPr>
              <w:t>.381</w:t>
            </w:r>
          </w:p>
        </w:tc>
        <w:tc>
          <w:tcPr>
            <w:tcW w:w="1275" w:type="dxa"/>
            <w:tcBorders>
              <w:top w:val="nil"/>
              <w:left w:val="single" w:sz="8" w:space="0" w:color="7BA0CD"/>
              <w:bottom w:val="single" w:sz="8" w:space="0" w:color="7BA0CD"/>
              <w:right w:val="dotted" w:sz="4" w:space="0" w:color="4F81BD"/>
            </w:tcBorders>
            <w:shd w:val="clear" w:color="auto" w:fill="auto"/>
            <w:noWrap/>
            <w:vAlign w:val="center"/>
            <w:hideMark/>
          </w:tcPr>
          <w:p w:rsidR="00266C99" w:rsidRPr="006C7DFA" w:rsidRDefault="00266C99" w:rsidP="00DB72C1">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1</w:t>
            </w:r>
            <w:r w:rsidR="002D79D1" w:rsidRPr="006C7DFA">
              <w:rPr>
                <w:rFonts w:ascii="Cambria" w:eastAsia="Times New Roman" w:hAnsi="Cambria"/>
                <w:b/>
                <w:bCs/>
                <w:color w:val="000000"/>
                <w:sz w:val="18"/>
                <w:szCs w:val="18"/>
                <w:lang w:val="bs-Latn-BA"/>
              </w:rPr>
              <w:t>2</w:t>
            </w:r>
            <w:r w:rsidR="008C1DA1" w:rsidRPr="006C7DFA">
              <w:rPr>
                <w:rFonts w:ascii="Cambria" w:eastAsia="Times New Roman" w:hAnsi="Cambria"/>
                <w:b/>
                <w:bCs/>
                <w:color w:val="000000"/>
                <w:sz w:val="18"/>
                <w:szCs w:val="18"/>
                <w:lang w:val="bs-Latn-BA"/>
              </w:rPr>
              <w:t>1</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4</w:t>
            </w:r>
            <w:r w:rsidR="008C1DA1" w:rsidRPr="006C7DFA">
              <w:rPr>
                <w:rFonts w:ascii="Cambria" w:eastAsia="Times New Roman" w:hAnsi="Cambria"/>
                <w:b/>
                <w:bCs/>
                <w:color w:val="000000"/>
                <w:sz w:val="18"/>
                <w:szCs w:val="18"/>
                <w:lang w:val="bs-Latn-BA"/>
              </w:rPr>
              <w:t>0</w:t>
            </w:r>
            <w:r w:rsidR="00DB72C1">
              <w:rPr>
                <w:rFonts w:ascii="Cambria" w:eastAsia="Times New Roman" w:hAnsi="Cambria"/>
                <w:b/>
                <w:bCs/>
                <w:color w:val="000000"/>
                <w:sz w:val="18"/>
                <w:szCs w:val="18"/>
                <w:lang w:val="bs-Latn-BA"/>
              </w:rPr>
              <w:t>8</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36</w:t>
            </w:r>
            <w:r w:rsidRPr="006C7DFA">
              <w:rPr>
                <w:rFonts w:ascii="Cambria" w:eastAsia="Times New Roman" w:hAnsi="Cambria"/>
                <w:b/>
                <w:bCs/>
                <w:color w:val="000000"/>
                <w:sz w:val="18"/>
                <w:szCs w:val="18"/>
                <w:lang w:val="bs-Latn-BA"/>
              </w:rPr>
              <w:t>9</w:t>
            </w:r>
          </w:p>
        </w:tc>
      </w:tr>
    </w:tbl>
    <w:p w:rsidR="00A76C49" w:rsidRPr="006C7DFA" w:rsidRDefault="00A76C49" w:rsidP="0075712F">
      <w:pPr>
        <w:spacing w:after="120" w:line="276" w:lineRule="auto"/>
        <w:jc w:val="both"/>
        <w:rPr>
          <w:rFonts w:asciiTheme="majorHAnsi" w:hAnsiTheme="majorHAnsi"/>
          <w:szCs w:val="24"/>
          <w:highlight w:val="yellow"/>
          <w:lang w:val="bs-Latn-BA"/>
        </w:rPr>
      </w:pPr>
    </w:p>
    <w:p w:rsidR="0075712F" w:rsidRPr="001A084E" w:rsidRDefault="0075712F" w:rsidP="0075712F">
      <w:pPr>
        <w:spacing w:after="120" w:line="276" w:lineRule="auto"/>
        <w:jc w:val="both"/>
        <w:rPr>
          <w:rFonts w:asciiTheme="majorHAnsi" w:hAnsiTheme="majorHAnsi"/>
          <w:szCs w:val="24"/>
          <w:lang w:val="bs-Latn-BA"/>
        </w:rPr>
      </w:pPr>
      <w:r w:rsidRPr="001A084E">
        <w:rPr>
          <w:rFonts w:asciiTheme="majorHAnsi" w:hAnsiTheme="majorHAnsi"/>
          <w:szCs w:val="24"/>
          <w:lang w:val="bs-Latn-BA"/>
        </w:rPr>
        <w:t>U akcionom planu 2018.-2020. godina bilo je obuhvaćeno provođenje ukupno 48 mjera sa 113 razvojnih projekata za koje su bila ukupno planirana sredstva za realizaciju svih planiranih aktivnosti u periodu 2018.-2020. godina na nivou od 230.247.392 KM. Iz vlastitih budžetskih sredstava je bilo planirano 79.176.721 KM, a iz ostalih budžetskih sredstava 79.281.814 KM dok je iz vanjskih izvora bilo planirano 49.120.647 KM. Iz ovog je vidljivo da je u odnosu na prethodni trogodišnji plan značajno povećan i broj planiranih aktivnosti kao i iznos sredstava za njihovu realizaciju</w:t>
      </w:r>
    </w:p>
    <w:p w:rsidR="005B5992" w:rsidRPr="001A084E" w:rsidRDefault="005B5992" w:rsidP="005B5992">
      <w:pPr>
        <w:spacing w:after="120" w:line="276" w:lineRule="auto"/>
        <w:jc w:val="both"/>
        <w:rPr>
          <w:rFonts w:asciiTheme="majorHAnsi" w:hAnsiTheme="majorHAnsi"/>
          <w:szCs w:val="24"/>
          <w:lang w:val="bs-Latn-BA"/>
        </w:rPr>
      </w:pPr>
      <w:r w:rsidRPr="001A084E">
        <w:rPr>
          <w:rFonts w:asciiTheme="majorHAnsi" w:hAnsiTheme="majorHAnsi"/>
          <w:szCs w:val="24"/>
          <w:lang w:val="bs-Latn-BA"/>
        </w:rPr>
        <w:t>Ukupno planirana sredstva za realizaciju aktivnosti u</w:t>
      </w:r>
      <w:r w:rsidR="00DB72C1" w:rsidRPr="001A084E">
        <w:rPr>
          <w:rFonts w:asciiTheme="majorHAnsi" w:hAnsiTheme="majorHAnsi"/>
          <w:szCs w:val="24"/>
          <w:lang w:val="bs-Latn-BA"/>
        </w:rPr>
        <w:t xml:space="preserve"> 2019. godini su u iznosu od 133</w:t>
      </w:r>
      <w:r w:rsidRPr="001A084E">
        <w:rPr>
          <w:rFonts w:asciiTheme="majorHAnsi" w:hAnsiTheme="majorHAnsi"/>
          <w:szCs w:val="24"/>
          <w:lang w:val="bs-Latn-BA"/>
        </w:rPr>
        <w:t>.</w:t>
      </w:r>
      <w:r w:rsidR="005B5A20">
        <w:rPr>
          <w:rFonts w:asciiTheme="majorHAnsi" w:hAnsiTheme="majorHAnsi"/>
          <w:szCs w:val="24"/>
          <w:lang w:val="bs-Latn-BA"/>
        </w:rPr>
        <w:t>836</w:t>
      </w:r>
      <w:r w:rsidRPr="001A084E">
        <w:rPr>
          <w:rFonts w:asciiTheme="majorHAnsi" w:hAnsiTheme="majorHAnsi"/>
          <w:szCs w:val="24"/>
          <w:lang w:val="bs-Latn-BA"/>
        </w:rPr>
        <w:t>.</w:t>
      </w:r>
      <w:r w:rsidR="00DB72C1" w:rsidRPr="001A084E">
        <w:rPr>
          <w:rFonts w:asciiTheme="majorHAnsi" w:hAnsiTheme="majorHAnsi"/>
          <w:szCs w:val="24"/>
          <w:lang w:val="bs-Latn-BA"/>
        </w:rPr>
        <w:t>0</w:t>
      </w:r>
      <w:r w:rsidRPr="001A084E">
        <w:rPr>
          <w:rFonts w:asciiTheme="majorHAnsi" w:hAnsiTheme="majorHAnsi"/>
          <w:szCs w:val="24"/>
          <w:lang w:val="bs-Latn-BA"/>
        </w:rPr>
        <w:t>4</w:t>
      </w:r>
      <w:r w:rsidR="00DB72C1" w:rsidRPr="001A084E">
        <w:rPr>
          <w:rFonts w:asciiTheme="majorHAnsi" w:hAnsiTheme="majorHAnsi"/>
          <w:szCs w:val="24"/>
          <w:lang w:val="bs-Latn-BA"/>
        </w:rPr>
        <w:t>3</w:t>
      </w:r>
      <w:r w:rsidRPr="001A084E">
        <w:rPr>
          <w:rFonts w:asciiTheme="majorHAnsi" w:hAnsiTheme="majorHAnsi"/>
          <w:szCs w:val="24"/>
          <w:lang w:val="bs-Latn-BA"/>
        </w:rPr>
        <w:t xml:space="preserve"> KM od čega je 6</w:t>
      </w:r>
      <w:r w:rsidR="00DB72C1" w:rsidRPr="001A084E">
        <w:rPr>
          <w:rFonts w:asciiTheme="majorHAnsi" w:hAnsiTheme="majorHAnsi"/>
          <w:szCs w:val="24"/>
          <w:lang w:val="bs-Latn-BA"/>
        </w:rPr>
        <w:t>0</w:t>
      </w:r>
      <w:r w:rsidRPr="001A084E">
        <w:rPr>
          <w:rFonts w:asciiTheme="majorHAnsi" w:hAnsiTheme="majorHAnsi"/>
          <w:szCs w:val="24"/>
          <w:lang w:val="bs-Latn-BA"/>
        </w:rPr>
        <w:t>.</w:t>
      </w:r>
      <w:r w:rsidR="00F1424F" w:rsidRPr="001A084E">
        <w:rPr>
          <w:rFonts w:asciiTheme="majorHAnsi" w:hAnsiTheme="majorHAnsi"/>
          <w:szCs w:val="24"/>
          <w:lang w:val="bs-Latn-BA"/>
        </w:rPr>
        <w:t>4</w:t>
      </w:r>
      <w:r w:rsidR="00DB72C1" w:rsidRPr="001A084E">
        <w:rPr>
          <w:rFonts w:asciiTheme="majorHAnsi" w:hAnsiTheme="majorHAnsi"/>
          <w:szCs w:val="24"/>
          <w:lang w:val="bs-Latn-BA"/>
        </w:rPr>
        <w:t>81</w:t>
      </w:r>
      <w:r w:rsidRPr="001A084E">
        <w:rPr>
          <w:rFonts w:asciiTheme="majorHAnsi" w:hAnsiTheme="majorHAnsi"/>
          <w:szCs w:val="24"/>
          <w:lang w:val="bs-Latn-BA"/>
        </w:rPr>
        <w:t>.</w:t>
      </w:r>
      <w:r w:rsidR="00DB72C1" w:rsidRPr="001A084E">
        <w:rPr>
          <w:rFonts w:asciiTheme="majorHAnsi" w:hAnsiTheme="majorHAnsi"/>
          <w:szCs w:val="24"/>
          <w:lang w:val="bs-Latn-BA"/>
        </w:rPr>
        <w:t>6</w:t>
      </w:r>
      <w:r w:rsidRPr="001A084E">
        <w:rPr>
          <w:rFonts w:asciiTheme="majorHAnsi" w:hAnsiTheme="majorHAnsi"/>
          <w:szCs w:val="24"/>
          <w:lang w:val="bs-Latn-BA"/>
        </w:rPr>
        <w:t>7</w:t>
      </w:r>
      <w:r w:rsidR="00DB72C1" w:rsidRPr="001A084E">
        <w:rPr>
          <w:rFonts w:asciiTheme="majorHAnsi" w:hAnsiTheme="majorHAnsi"/>
          <w:szCs w:val="24"/>
          <w:lang w:val="bs-Latn-BA"/>
        </w:rPr>
        <w:t>0</w:t>
      </w:r>
      <w:r w:rsidRPr="001A084E">
        <w:rPr>
          <w:rFonts w:asciiTheme="majorHAnsi" w:hAnsiTheme="majorHAnsi"/>
          <w:szCs w:val="24"/>
          <w:lang w:val="bs-Latn-BA"/>
        </w:rPr>
        <w:t xml:space="preserve"> KM  planirano za Strateški cilj </w:t>
      </w:r>
      <w:r w:rsidR="00F1424F" w:rsidRPr="001A084E">
        <w:rPr>
          <w:rFonts w:asciiTheme="majorHAnsi" w:hAnsiTheme="majorHAnsi"/>
          <w:szCs w:val="24"/>
          <w:lang w:val="bs-Latn-BA"/>
        </w:rPr>
        <w:t>1</w:t>
      </w:r>
      <w:r w:rsidRPr="001A084E">
        <w:rPr>
          <w:rFonts w:asciiTheme="majorHAnsi" w:hAnsiTheme="majorHAnsi"/>
          <w:szCs w:val="24"/>
          <w:lang w:val="bs-Latn-BA"/>
        </w:rPr>
        <w:t xml:space="preserve">: </w:t>
      </w:r>
      <w:r w:rsidR="00F1424F" w:rsidRPr="001A084E">
        <w:rPr>
          <w:rFonts w:asciiTheme="majorHAnsi" w:hAnsiTheme="majorHAnsi"/>
          <w:szCs w:val="24"/>
          <w:lang w:val="bs-Latn-BA"/>
        </w:rPr>
        <w:t>Osigurati stabilnost i prosperitet razvoja privrede Tuzlanskog kantona (ekonomski razvoj).</w:t>
      </w:r>
    </w:p>
    <w:p w:rsidR="005B5992" w:rsidRPr="001A084E" w:rsidRDefault="005B5992" w:rsidP="00212757">
      <w:pPr>
        <w:spacing w:after="120" w:line="276" w:lineRule="auto"/>
        <w:jc w:val="both"/>
        <w:rPr>
          <w:rFonts w:asciiTheme="majorHAnsi" w:hAnsiTheme="majorHAnsi"/>
          <w:szCs w:val="24"/>
          <w:lang w:val="bs-Latn-BA"/>
        </w:rPr>
      </w:pPr>
      <w:r w:rsidRPr="001A084E">
        <w:rPr>
          <w:rFonts w:asciiTheme="majorHAnsi" w:hAnsiTheme="majorHAnsi"/>
          <w:szCs w:val="24"/>
          <w:lang w:val="bs-Latn-BA"/>
        </w:rPr>
        <w:t>Najveći pojedinačni planirani iznosi za realizaciju projekata se nalaze u sektoru saobraćajne infrastrukture za realizaciju razvojne mjere 1.3.3. Priprema  i izgradnja infrastrukturnih  projekata  iz  oblasti  saobraćaja u iznosu od 29.350.337 KM koje je planirala JU Direkcija regionalnih cesta TK, a zatim slijede sredstva za finansiranje projekata iz oblasti poljoprivrede gdje je planirano 12.500.000 KM za realizaciju razvojne mjere 1.2.3. Direktna plaćanja poljoprivrednim proizvođačima u  oblasti animalne proizvodnje</w:t>
      </w:r>
      <w:r w:rsidR="005F6D18" w:rsidRPr="001A084E">
        <w:rPr>
          <w:rFonts w:asciiTheme="majorHAnsi" w:hAnsiTheme="majorHAnsi"/>
          <w:szCs w:val="24"/>
          <w:lang w:val="bs-Latn-BA"/>
        </w:rPr>
        <w:t xml:space="preserve">. </w:t>
      </w:r>
      <w:r w:rsidR="00773090" w:rsidRPr="001A084E">
        <w:rPr>
          <w:rFonts w:asciiTheme="majorHAnsi" w:hAnsiTheme="majorHAnsi"/>
          <w:szCs w:val="24"/>
          <w:lang w:val="bs-Latn-BA"/>
        </w:rPr>
        <w:t>I</w:t>
      </w:r>
      <w:r w:rsidRPr="001A084E">
        <w:rPr>
          <w:rFonts w:asciiTheme="majorHAnsi" w:hAnsiTheme="majorHAnsi"/>
          <w:szCs w:val="24"/>
          <w:lang w:val="bs-Latn-BA"/>
        </w:rPr>
        <w:t xml:space="preserve">z oblasti  zdravstva je putem javno-privatnog partnerstva u 2019. godini planirano 11.666.667 KM za realizaciju razvojnog projekta 3.2.4.5. Opremanje Centra urgentne medicine pri JZU UKC Tuzla i izgradnja javne garaže. </w:t>
      </w:r>
    </w:p>
    <w:p w:rsidR="00084580" w:rsidRPr="001A084E" w:rsidRDefault="005B5992" w:rsidP="00212757">
      <w:pPr>
        <w:spacing w:after="120" w:line="276" w:lineRule="auto"/>
        <w:jc w:val="both"/>
        <w:rPr>
          <w:rFonts w:asciiTheme="majorHAnsi" w:hAnsiTheme="majorHAnsi"/>
          <w:szCs w:val="24"/>
          <w:lang w:val="bs-Latn-BA"/>
        </w:rPr>
      </w:pPr>
      <w:r w:rsidRPr="001A084E">
        <w:rPr>
          <w:rFonts w:asciiTheme="majorHAnsi" w:hAnsiTheme="majorHAnsi"/>
          <w:szCs w:val="24"/>
          <w:lang w:val="bs-Latn-BA"/>
        </w:rPr>
        <w:t>Federalni zavod za zapošljavanje planira</w:t>
      </w:r>
      <w:r w:rsidR="00263B00" w:rsidRPr="001A084E">
        <w:rPr>
          <w:rFonts w:asciiTheme="majorHAnsi" w:hAnsiTheme="majorHAnsi"/>
          <w:szCs w:val="24"/>
          <w:lang w:val="bs-Latn-BA"/>
        </w:rPr>
        <w:t>n</w:t>
      </w:r>
      <w:bookmarkStart w:id="9" w:name="_GoBack"/>
      <w:bookmarkEnd w:id="9"/>
      <w:r w:rsidRPr="001A084E">
        <w:rPr>
          <w:rFonts w:asciiTheme="majorHAnsi" w:hAnsiTheme="majorHAnsi"/>
          <w:szCs w:val="24"/>
          <w:lang w:val="bs-Latn-BA"/>
        </w:rPr>
        <w:t>o u 2019</w:t>
      </w:r>
      <w:r w:rsidR="00263B00" w:rsidRPr="001A084E">
        <w:rPr>
          <w:rFonts w:asciiTheme="majorHAnsi" w:hAnsiTheme="majorHAnsi"/>
          <w:szCs w:val="24"/>
          <w:lang w:val="bs-Latn-BA"/>
        </w:rPr>
        <w:t>.</w:t>
      </w:r>
      <w:r w:rsidRPr="001A084E">
        <w:rPr>
          <w:rFonts w:asciiTheme="majorHAnsi" w:hAnsiTheme="majorHAnsi"/>
          <w:szCs w:val="24"/>
          <w:lang w:val="bs-Latn-BA"/>
        </w:rPr>
        <w:t xml:space="preserve"> godini sufina</w:t>
      </w:r>
      <w:r w:rsidR="00773090" w:rsidRPr="001A084E">
        <w:rPr>
          <w:rFonts w:asciiTheme="majorHAnsi" w:hAnsiTheme="majorHAnsi"/>
          <w:szCs w:val="24"/>
          <w:lang w:val="bs-Latn-BA"/>
        </w:rPr>
        <w:t>n</w:t>
      </w:r>
      <w:r w:rsidRPr="001A084E">
        <w:rPr>
          <w:rFonts w:asciiTheme="majorHAnsi" w:hAnsiTheme="majorHAnsi"/>
          <w:szCs w:val="24"/>
          <w:lang w:val="bs-Latn-BA"/>
        </w:rPr>
        <w:t>sirati zapošljavanje 16.000 osoba od kojih po procjeni 3.200 u Tuzlanskom kantonu, ukupnim sredstvima 85.237.923 KM od čega</w:t>
      </w:r>
      <w:r w:rsidRPr="006C7DFA">
        <w:rPr>
          <w:rFonts w:asciiTheme="majorHAnsi" w:hAnsiTheme="majorHAnsi"/>
          <w:szCs w:val="24"/>
          <w:lang w:val="bs-Latn-BA"/>
        </w:rPr>
        <w:t xml:space="preserve"> </w:t>
      </w:r>
      <w:r w:rsidRPr="001A084E">
        <w:rPr>
          <w:rFonts w:asciiTheme="majorHAnsi" w:hAnsiTheme="majorHAnsi"/>
          <w:szCs w:val="24"/>
          <w:lang w:val="bs-Latn-BA"/>
        </w:rPr>
        <w:lastRenderedPageBreak/>
        <w:t>29.615.150 KM za ugovore iz 2018.godin</w:t>
      </w:r>
      <w:r w:rsidR="00773090" w:rsidRPr="001A084E">
        <w:rPr>
          <w:rFonts w:asciiTheme="majorHAnsi" w:hAnsiTheme="majorHAnsi"/>
          <w:szCs w:val="24"/>
          <w:lang w:val="bs-Latn-BA"/>
        </w:rPr>
        <w:t>e</w:t>
      </w:r>
      <w:r w:rsidRPr="001A084E">
        <w:rPr>
          <w:rFonts w:asciiTheme="majorHAnsi" w:hAnsiTheme="majorHAnsi"/>
          <w:szCs w:val="24"/>
          <w:lang w:val="bs-Latn-BA"/>
        </w:rPr>
        <w:t>, (procjena rađena na bazi podataka iz Programa rada Federalnog zavoda za zapošljavanje za 2019 godinu. Procjena je da bi za realizaciju ove aktivnosti u Tuzlanskom kantonu bilo utrošeno oko 11.000.000 KM.</w:t>
      </w:r>
    </w:p>
    <w:p w:rsidR="00E51F0F" w:rsidRPr="006C7DFA" w:rsidRDefault="00E51F0F" w:rsidP="00212757">
      <w:pPr>
        <w:spacing w:after="120" w:line="276" w:lineRule="auto"/>
        <w:jc w:val="both"/>
        <w:rPr>
          <w:rFonts w:asciiTheme="majorHAnsi" w:hAnsiTheme="majorHAnsi"/>
          <w:szCs w:val="24"/>
          <w:lang w:val="bs-Latn-BA"/>
        </w:rPr>
      </w:pPr>
      <w:r w:rsidRPr="006C7DFA">
        <w:rPr>
          <w:rFonts w:asciiTheme="majorHAnsi" w:hAnsiTheme="majorHAnsi"/>
          <w:szCs w:val="24"/>
          <w:lang w:val="bs-Latn-BA"/>
        </w:rPr>
        <w:t xml:space="preserve">Posebno je bitno naglasiti da </w:t>
      </w:r>
      <w:r w:rsidR="00FA5B85" w:rsidRPr="006C7DFA">
        <w:rPr>
          <w:rFonts w:asciiTheme="majorHAnsi" w:hAnsiTheme="majorHAnsi"/>
          <w:szCs w:val="24"/>
          <w:lang w:val="bs-Latn-BA"/>
        </w:rPr>
        <w:t xml:space="preserve">su </w:t>
      </w:r>
      <w:r w:rsidRPr="006C7DFA">
        <w:rPr>
          <w:rFonts w:asciiTheme="majorHAnsi" w:hAnsiTheme="majorHAnsi"/>
          <w:szCs w:val="24"/>
          <w:lang w:val="bs-Latn-BA"/>
        </w:rPr>
        <w:t xml:space="preserve">aktivnosti </w:t>
      </w:r>
      <w:r w:rsidR="00FA5B85" w:rsidRPr="006C7DFA">
        <w:rPr>
          <w:rFonts w:asciiTheme="majorHAnsi" w:hAnsiTheme="majorHAnsi"/>
          <w:szCs w:val="24"/>
          <w:lang w:val="bs-Latn-BA"/>
        </w:rPr>
        <w:t xml:space="preserve">koje imaju </w:t>
      </w:r>
      <w:r w:rsidR="006C7DFA" w:rsidRPr="006C7DFA">
        <w:rPr>
          <w:rFonts w:asciiTheme="majorHAnsi" w:hAnsiTheme="majorHAnsi"/>
          <w:szCs w:val="24"/>
          <w:lang w:val="bs-Latn-BA"/>
        </w:rPr>
        <w:t xml:space="preserve">integrisane </w:t>
      </w:r>
      <w:r w:rsidR="00FA5B85" w:rsidRPr="006C7DFA">
        <w:rPr>
          <w:rFonts w:asciiTheme="majorHAnsi" w:hAnsiTheme="majorHAnsi"/>
          <w:szCs w:val="24"/>
          <w:lang w:val="bs-Latn-BA"/>
        </w:rPr>
        <w:t>aspekt</w:t>
      </w:r>
      <w:r w:rsidR="006C7DFA" w:rsidRPr="006C7DFA">
        <w:rPr>
          <w:rFonts w:asciiTheme="majorHAnsi" w:hAnsiTheme="majorHAnsi"/>
          <w:szCs w:val="24"/>
          <w:lang w:val="bs-Latn-BA"/>
        </w:rPr>
        <w:t>e</w:t>
      </w:r>
      <w:r w:rsidR="00FA5B85" w:rsidRPr="006C7DFA">
        <w:rPr>
          <w:rFonts w:asciiTheme="majorHAnsi" w:hAnsiTheme="majorHAnsi"/>
          <w:szCs w:val="24"/>
          <w:lang w:val="bs-Latn-BA"/>
        </w:rPr>
        <w:t xml:space="preserve"> gendera ili socijalnog uključivanja u značajnoj mjeri obuhvaćene ovim planom i ovim projektima posvećena je veoma posebna pažnja od kojih su najvažniji: </w:t>
      </w:r>
      <w:r w:rsidR="00F26447" w:rsidRPr="006C7DFA">
        <w:rPr>
          <w:rFonts w:asciiTheme="majorHAnsi" w:hAnsiTheme="majorHAnsi"/>
          <w:szCs w:val="24"/>
          <w:lang w:val="bs-Latn-BA"/>
        </w:rPr>
        <w:t>Biznis Start-up Fond za mlade, Biznis Start-up Fond za žene</w:t>
      </w:r>
      <w:r w:rsidR="00FA5B85" w:rsidRPr="006C7DFA">
        <w:rPr>
          <w:rFonts w:asciiTheme="majorHAnsi" w:hAnsiTheme="majorHAnsi"/>
          <w:szCs w:val="24"/>
          <w:lang w:val="bs-Latn-BA"/>
        </w:rPr>
        <w:t>, Program sufinansiranja samozapošljavanja START UP (Poduzetništvo za sve, Poduzetništvo za mlade, Poduzetništvo za žene), Zapošljavanje žena -2018, Unapređenje položaja žena i djece, žrtava nasilja u porodici i drugih oblika</w:t>
      </w:r>
      <w:r w:rsidR="006C7DFA" w:rsidRPr="006C7DFA">
        <w:rPr>
          <w:rFonts w:asciiTheme="majorHAnsi" w:hAnsiTheme="majorHAnsi"/>
          <w:szCs w:val="24"/>
          <w:lang w:val="bs-Latn-BA"/>
        </w:rPr>
        <w:t xml:space="preserve"> nasilja/socijalna uključenost/</w:t>
      </w:r>
      <w:r w:rsidR="00FA5B85" w:rsidRPr="006C7DFA">
        <w:rPr>
          <w:rFonts w:asciiTheme="majorHAnsi" w:hAnsiTheme="majorHAnsi"/>
          <w:szCs w:val="24"/>
          <w:lang w:val="bs-Latn-BA"/>
        </w:rPr>
        <w:t>Poboljšanje položaja porodica sa djecom - Psihosocijalna zaštita, briga i zbrinjavanje djece i žena žrtava porodičnog nasilja -</w:t>
      </w:r>
      <w:r w:rsidR="00F26447" w:rsidRPr="006C7DFA">
        <w:rPr>
          <w:rFonts w:asciiTheme="majorHAnsi" w:hAnsiTheme="majorHAnsi"/>
          <w:szCs w:val="24"/>
          <w:lang w:val="bs-Latn-BA"/>
        </w:rPr>
        <w:t xml:space="preserve"> </w:t>
      </w:r>
      <w:r w:rsidR="00FA5B85" w:rsidRPr="006C7DFA">
        <w:rPr>
          <w:rFonts w:asciiTheme="majorHAnsi" w:hAnsiTheme="majorHAnsi"/>
          <w:szCs w:val="24"/>
          <w:lang w:val="bs-Latn-BA"/>
        </w:rPr>
        <w:t>Sigurna kuća za žene i djecu žrtva nasilja</w:t>
      </w:r>
      <w:r w:rsidR="005717CD" w:rsidRPr="006C7DFA">
        <w:rPr>
          <w:rFonts w:asciiTheme="majorHAnsi" w:hAnsiTheme="majorHAnsi"/>
          <w:szCs w:val="24"/>
          <w:lang w:val="bs-Latn-BA"/>
        </w:rPr>
        <w:t>.</w:t>
      </w:r>
    </w:p>
    <w:p w:rsidR="009717DE" w:rsidRPr="006C7DFA" w:rsidRDefault="009717DE" w:rsidP="00212757">
      <w:pPr>
        <w:spacing w:after="120" w:line="276" w:lineRule="auto"/>
        <w:jc w:val="both"/>
        <w:rPr>
          <w:rFonts w:asciiTheme="majorHAnsi" w:hAnsiTheme="majorHAnsi"/>
          <w:szCs w:val="24"/>
          <w:lang w:val="bs-Latn-BA"/>
        </w:rPr>
      </w:pPr>
      <w:r w:rsidRPr="001A084E">
        <w:rPr>
          <w:rFonts w:asciiTheme="majorHAnsi" w:hAnsiTheme="majorHAnsi"/>
          <w:szCs w:val="24"/>
          <w:lang w:val="bs-Latn-BA"/>
        </w:rPr>
        <w:t xml:space="preserve">Realizacija </w:t>
      </w:r>
      <w:r w:rsidR="006C7DFA" w:rsidRPr="001A084E">
        <w:rPr>
          <w:rFonts w:asciiTheme="majorHAnsi" w:hAnsiTheme="majorHAnsi"/>
          <w:szCs w:val="24"/>
          <w:lang w:val="bs-Latn-BA"/>
        </w:rPr>
        <w:t>mjere</w:t>
      </w:r>
      <w:r w:rsidRPr="001A084E">
        <w:rPr>
          <w:rFonts w:asciiTheme="majorHAnsi" w:hAnsiTheme="majorHAnsi"/>
          <w:szCs w:val="24"/>
          <w:lang w:val="bs-Latn-BA"/>
        </w:rPr>
        <w:t xml:space="preserve"> “</w:t>
      </w:r>
      <w:r w:rsidR="006C7DFA" w:rsidRPr="001A084E">
        <w:rPr>
          <w:rFonts w:asciiTheme="majorHAnsi" w:hAnsiTheme="majorHAnsi"/>
          <w:szCs w:val="24"/>
          <w:lang w:val="bs-Latn-BA"/>
        </w:rPr>
        <w:t>Biznis Start-up Fond</w:t>
      </w:r>
      <w:r w:rsidRPr="001A084E">
        <w:rPr>
          <w:rFonts w:asciiTheme="majorHAnsi" w:hAnsiTheme="majorHAnsi"/>
          <w:szCs w:val="24"/>
          <w:lang w:val="bs-Latn-BA"/>
        </w:rPr>
        <w:t xml:space="preserve">” planirana je </w:t>
      </w:r>
      <w:r w:rsidR="00A76C49" w:rsidRPr="001A084E">
        <w:rPr>
          <w:rFonts w:asciiTheme="majorHAnsi" w:hAnsiTheme="majorHAnsi"/>
          <w:szCs w:val="24"/>
          <w:lang w:val="bs-Latn-BA"/>
        </w:rPr>
        <w:t>u saradnji sa JU Službom za za</w:t>
      </w:r>
      <w:r w:rsidR="00F26447" w:rsidRPr="001A084E">
        <w:rPr>
          <w:rFonts w:asciiTheme="majorHAnsi" w:hAnsiTheme="majorHAnsi"/>
          <w:szCs w:val="24"/>
          <w:lang w:val="bs-Latn-BA"/>
        </w:rPr>
        <w:t>pošljavanje Tuzlanskog kantona,</w:t>
      </w:r>
      <w:r w:rsidR="00A76C49" w:rsidRPr="001A084E">
        <w:rPr>
          <w:rFonts w:asciiTheme="majorHAnsi" w:hAnsiTheme="majorHAnsi"/>
          <w:szCs w:val="24"/>
          <w:lang w:val="bs-Latn-BA"/>
        </w:rPr>
        <w:t xml:space="preserve"> Ekonomskim fakultetom</w:t>
      </w:r>
      <w:r w:rsidR="006C7DFA" w:rsidRPr="001A084E">
        <w:rPr>
          <w:rFonts w:asciiTheme="majorHAnsi" w:hAnsiTheme="majorHAnsi"/>
          <w:szCs w:val="24"/>
          <w:lang w:val="bs-Latn-BA"/>
        </w:rPr>
        <w:t>, nevladinim organizacijama koje rade sa ciljnim grupama</w:t>
      </w:r>
      <w:r w:rsidR="00F26447" w:rsidRPr="001A084E">
        <w:rPr>
          <w:rFonts w:asciiTheme="majorHAnsi" w:hAnsiTheme="majorHAnsi"/>
          <w:szCs w:val="24"/>
          <w:lang w:val="bs-Latn-BA"/>
        </w:rPr>
        <w:t xml:space="preserve"> i etabliranim </w:t>
      </w:r>
      <w:r w:rsidR="006C7DFA" w:rsidRPr="001A084E">
        <w:rPr>
          <w:rFonts w:asciiTheme="majorHAnsi" w:hAnsiTheme="majorHAnsi"/>
          <w:szCs w:val="24"/>
          <w:lang w:val="bs-Latn-BA"/>
        </w:rPr>
        <w:t xml:space="preserve">privrednicima, naročito </w:t>
      </w:r>
      <w:r w:rsidR="00F26447" w:rsidRPr="001A084E">
        <w:rPr>
          <w:rFonts w:asciiTheme="majorHAnsi" w:hAnsiTheme="majorHAnsi"/>
          <w:szCs w:val="24"/>
          <w:lang w:val="bs-Latn-BA"/>
        </w:rPr>
        <w:t>ženama poduzetnicama sa područja Tuzlanskog kantona.</w:t>
      </w:r>
      <w:r w:rsidR="00A76C49" w:rsidRPr="001A084E">
        <w:rPr>
          <w:rFonts w:asciiTheme="majorHAnsi" w:hAnsiTheme="majorHAnsi"/>
          <w:szCs w:val="24"/>
          <w:lang w:val="bs-Latn-BA"/>
        </w:rPr>
        <w:t xml:space="preserve"> </w:t>
      </w:r>
      <w:r w:rsidR="00F26447" w:rsidRPr="001A084E">
        <w:rPr>
          <w:rFonts w:asciiTheme="majorHAnsi" w:hAnsiTheme="majorHAnsi"/>
          <w:szCs w:val="24"/>
          <w:lang w:val="bs-Latn-BA"/>
        </w:rPr>
        <w:t>Projekat obuhvata</w:t>
      </w:r>
      <w:r w:rsidRPr="001A084E">
        <w:rPr>
          <w:rFonts w:asciiTheme="majorHAnsi" w:hAnsiTheme="majorHAnsi"/>
          <w:szCs w:val="24"/>
          <w:lang w:val="bs-Latn-BA"/>
        </w:rPr>
        <w:t xml:space="preserve"> </w:t>
      </w:r>
      <w:r w:rsidR="00A76C49" w:rsidRPr="001A084E">
        <w:rPr>
          <w:rFonts w:asciiTheme="majorHAnsi" w:hAnsiTheme="majorHAnsi"/>
          <w:szCs w:val="24"/>
          <w:lang w:val="bs-Latn-BA"/>
        </w:rPr>
        <w:t xml:space="preserve">implementaciju aktivnosti koje </w:t>
      </w:r>
      <w:r w:rsidR="00F26447" w:rsidRPr="001A084E">
        <w:rPr>
          <w:rFonts w:asciiTheme="majorHAnsi" w:hAnsiTheme="majorHAnsi"/>
          <w:szCs w:val="24"/>
          <w:lang w:val="bs-Latn-BA"/>
        </w:rPr>
        <w:t>se odnose</w:t>
      </w:r>
      <w:r w:rsidR="00A76C49" w:rsidRPr="001A084E">
        <w:rPr>
          <w:rFonts w:asciiTheme="majorHAnsi" w:hAnsiTheme="majorHAnsi"/>
          <w:szCs w:val="24"/>
          <w:lang w:val="bs-Latn-BA"/>
        </w:rPr>
        <w:t xml:space="preserve"> </w:t>
      </w:r>
      <w:r w:rsidR="006C7DFA" w:rsidRPr="001A084E">
        <w:rPr>
          <w:rFonts w:asciiTheme="majorHAnsi" w:hAnsiTheme="majorHAnsi"/>
          <w:szCs w:val="24"/>
          <w:lang w:val="bs-Latn-BA"/>
        </w:rPr>
        <w:t xml:space="preserve">ne </w:t>
      </w:r>
      <w:r w:rsidR="00F26447" w:rsidRPr="001A084E">
        <w:rPr>
          <w:rFonts w:asciiTheme="majorHAnsi" w:hAnsiTheme="majorHAnsi"/>
          <w:szCs w:val="24"/>
          <w:lang w:val="bs-Latn-BA"/>
        </w:rPr>
        <w:t xml:space="preserve">unaprjeđenje poduzetničkih vještina, znanja i kapaciteta, obezbjeđenje finansijske, stručne i savjetodavne podršku za pokretanje poslovnih poduhvata i osiguranje mentorske podrške za </w:t>
      </w:r>
      <w:r w:rsidR="006C7DFA" w:rsidRPr="001A084E">
        <w:rPr>
          <w:rFonts w:asciiTheme="majorHAnsi" w:hAnsiTheme="majorHAnsi"/>
          <w:szCs w:val="24"/>
          <w:lang w:val="bs-Latn-BA"/>
        </w:rPr>
        <w:t xml:space="preserve">mlade poduzetnike i </w:t>
      </w:r>
      <w:r w:rsidR="00F26447" w:rsidRPr="001A084E">
        <w:rPr>
          <w:rFonts w:asciiTheme="majorHAnsi" w:hAnsiTheme="majorHAnsi"/>
          <w:szCs w:val="24"/>
          <w:lang w:val="bs-Latn-BA"/>
        </w:rPr>
        <w:t>žen</w:t>
      </w:r>
      <w:r w:rsidR="006C7DFA" w:rsidRPr="001A084E">
        <w:rPr>
          <w:rFonts w:asciiTheme="majorHAnsi" w:hAnsiTheme="majorHAnsi"/>
          <w:szCs w:val="24"/>
          <w:lang w:val="bs-Latn-BA"/>
        </w:rPr>
        <w:t>e poduzetnice</w:t>
      </w:r>
      <w:r w:rsidR="00F26447" w:rsidRPr="001A084E">
        <w:rPr>
          <w:rFonts w:asciiTheme="majorHAnsi" w:hAnsiTheme="majorHAnsi"/>
          <w:szCs w:val="24"/>
          <w:lang w:val="bs-Latn-BA"/>
        </w:rPr>
        <w:t xml:space="preserve"> sa područja Tuzlanskog kantona. U projektu su u fokusu primarno nezaposlene žene, samohrane majke, žene </w:t>
      </w:r>
      <w:r w:rsidR="006C7DFA" w:rsidRPr="001A084E">
        <w:rPr>
          <w:rFonts w:asciiTheme="majorHAnsi" w:hAnsiTheme="majorHAnsi"/>
          <w:szCs w:val="24"/>
          <w:lang w:val="bs-Latn-BA"/>
        </w:rPr>
        <w:t xml:space="preserve">i mladi </w:t>
      </w:r>
      <w:r w:rsidR="00F26447" w:rsidRPr="001A084E">
        <w:rPr>
          <w:rFonts w:asciiTheme="majorHAnsi" w:hAnsiTheme="majorHAnsi"/>
          <w:szCs w:val="24"/>
          <w:lang w:val="bs-Latn-BA"/>
        </w:rPr>
        <w:t>u stanju socijalne potrebe</w:t>
      </w:r>
      <w:r w:rsidR="006C7DFA" w:rsidRPr="001A084E">
        <w:rPr>
          <w:rFonts w:asciiTheme="majorHAnsi" w:hAnsiTheme="majorHAnsi"/>
          <w:szCs w:val="24"/>
          <w:lang w:val="bs-Latn-BA"/>
        </w:rPr>
        <w:t xml:space="preserve">, nezaposleni mladi </w:t>
      </w:r>
      <w:r w:rsidR="00F26447" w:rsidRPr="001A084E">
        <w:rPr>
          <w:rFonts w:asciiTheme="majorHAnsi" w:hAnsiTheme="majorHAnsi"/>
          <w:szCs w:val="24"/>
          <w:lang w:val="bs-Latn-BA"/>
        </w:rPr>
        <w:t xml:space="preserve">i slično. Unaprjeđenje poduzetničkih vještina, znanja i kapaciteta će se postići kroz realizaciju </w:t>
      </w:r>
      <w:r w:rsidRPr="001A084E">
        <w:rPr>
          <w:rFonts w:asciiTheme="majorHAnsi" w:hAnsiTheme="majorHAnsi"/>
          <w:szCs w:val="24"/>
          <w:lang w:val="bs-Latn-BA"/>
        </w:rPr>
        <w:t>obuk</w:t>
      </w:r>
      <w:r w:rsidR="00F26447" w:rsidRPr="001A084E">
        <w:rPr>
          <w:rFonts w:asciiTheme="majorHAnsi" w:hAnsiTheme="majorHAnsi"/>
          <w:szCs w:val="24"/>
          <w:lang w:val="bs-Latn-BA"/>
        </w:rPr>
        <w:t>e</w:t>
      </w:r>
      <w:r w:rsidR="006C7DFA" w:rsidRPr="001A084E">
        <w:rPr>
          <w:rFonts w:asciiTheme="majorHAnsi" w:hAnsiTheme="majorHAnsi"/>
          <w:szCs w:val="24"/>
          <w:lang w:val="bs-Latn-BA"/>
        </w:rPr>
        <w:t>, koja</w:t>
      </w:r>
      <w:r w:rsidR="00F26447" w:rsidRPr="001A084E">
        <w:rPr>
          <w:rFonts w:asciiTheme="majorHAnsi" w:hAnsiTheme="majorHAnsi"/>
          <w:szCs w:val="24"/>
          <w:lang w:val="bs-Latn-BA"/>
        </w:rPr>
        <w:t xml:space="preserve"> će biti pružena</w:t>
      </w:r>
      <w:r w:rsidR="00A76C49" w:rsidRPr="001A084E">
        <w:rPr>
          <w:rFonts w:asciiTheme="majorHAnsi" w:hAnsiTheme="majorHAnsi"/>
          <w:szCs w:val="24"/>
          <w:lang w:val="bs-Latn-BA"/>
        </w:rPr>
        <w:t xml:space="preserve"> </w:t>
      </w:r>
      <w:r w:rsidRPr="001A084E">
        <w:rPr>
          <w:rFonts w:asciiTheme="majorHAnsi" w:hAnsiTheme="majorHAnsi"/>
          <w:szCs w:val="24"/>
          <w:lang w:val="bs-Latn-BA"/>
        </w:rPr>
        <w:t xml:space="preserve">od strane stručnih/specijaliziranih </w:t>
      </w:r>
      <w:r w:rsidR="00A76C49" w:rsidRPr="001A084E">
        <w:rPr>
          <w:rFonts w:asciiTheme="majorHAnsi" w:hAnsiTheme="majorHAnsi"/>
          <w:szCs w:val="24"/>
          <w:lang w:val="bs-Latn-BA"/>
        </w:rPr>
        <w:t>mentora</w:t>
      </w:r>
      <w:r w:rsidRPr="001A084E">
        <w:rPr>
          <w:rFonts w:asciiTheme="majorHAnsi" w:hAnsiTheme="majorHAnsi"/>
          <w:szCs w:val="24"/>
          <w:lang w:val="bs-Latn-BA"/>
        </w:rPr>
        <w:t>,</w:t>
      </w:r>
      <w:r w:rsidR="00F26447" w:rsidRPr="001A084E">
        <w:rPr>
          <w:rFonts w:asciiTheme="majorHAnsi" w:hAnsiTheme="majorHAnsi"/>
          <w:szCs w:val="24"/>
          <w:lang w:val="bs-Latn-BA"/>
        </w:rPr>
        <w:t xml:space="preserve"> sa kojima će </w:t>
      </w:r>
      <w:r w:rsidR="006C7DFA" w:rsidRPr="001A084E">
        <w:rPr>
          <w:rFonts w:asciiTheme="majorHAnsi" w:hAnsiTheme="majorHAnsi"/>
          <w:szCs w:val="24"/>
          <w:lang w:val="bs-Latn-BA"/>
        </w:rPr>
        <w:t xml:space="preserve">kandidatkinje i kandidati </w:t>
      </w:r>
      <w:r w:rsidR="00F26447" w:rsidRPr="001A084E">
        <w:rPr>
          <w:rFonts w:asciiTheme="majorHAnsi" w:hAnsiTheme="majorHAnsi"/>
          <w:szCs w:val="24"/>
          <w:lang w:val="bs-Latn-BA"/>
        </w:rPr>
        <w:t>razvijati svoje poslovne ideje i planove, te raditi na implementaciji istih.</w:t>
      </w:r>
      <w:r w:rsidRPr="001A084E">
        <w:rPr>
          <w:rFonts w:asciiTheme="majorHAnsi" w:hAnsiTheme="majorHAnsi"/>
          <w:szCs w:val="24"/>
          <w:lang w:val="bs-Latn-BA"/>
        </w:rPr>
        <w:t xml:space="preserve"> </w:t>
      </w:r>
      <w:r w:rsidR="00F26447" w:rsidRPr="001A084E">
        <w:rPr>
          <w:rFonts w:asciiTheme="majorHAnsi" w:hAnsiTheme="majorHAnsi"/>
          <w:szCs w:val="24"/>
          <w:lang w:val="bs-Latn-BA"/>
        </w:rPr>
        <w:t xml:space="preserve">Kroz projekat će takođe biti pružena finansijska podrška </w:t>
      </w:r>
      <w:r w:rsidRPr="001A084E">
        <w:rPr>
          <w:rFonts w:asciiTheme="majorHAnsi" w:hAnsiTheme="majorHAnsi"/>
          <w:szCs w:val="24"/>
          <w:lang w:val="bs-Latn-BA"/>
        </w:rPr>
        <w:t>za obezbjeđenje poslovnih prostora i nabavke opreme</w:t>
      </w:r>
      <w:r w:rsidR="006C7DFA" w:rsidRPr="001A084E">
        <w:rPr>
          <w:rFonts w:asciiTheme="majorHAnsi" w:hAnsiTheme="majorHAnsi"/>
          <w:szCs w:val="24"/>
          <w:lang w:val="bs-Latn-BA"/>
        </w:rPr>
        <w:t>, alata i materijala</w:t>
      </w:r>
      <w:r w:rsidR="00F26447" w:rsidRPr="001A084E">
        <w:rPr>
          <w:rFonts w:asciiTheme="majorHAnsi" w:hAnsiTheme="majorHAnsi"/>
          <w:szCs w:val="24"/>
          <w:lang w:val="bs-Latn-BA"/>
        </w:rPr>
        <w:t>,</w:t>
      </w:r>
      <w:r w:rsidRPr="001A084E">
        <w:rPr>
          <w:rFonts w:asciiTheme="majorHAnsi" w:hAnsiTheme="majorHAnsi"/>
          <w:szCs w:val="24"/>
          <w:lang w:val="bs-Latn-BA"/>
        </w:rPr>
        <w:t xml:space="preserve"> kao i sufinansiranje plaćanja dijela poreza i dopr</w:t>
      </w:r>
      <w:r w:rsidR="00F26447" w:rsidRPr="001A084E">
        <w:rPr>
          <w:rFonts w:asciiTheme="majorHAnsi" w:hAnsiTheme="majorHAnsi"/>
          <w:szCs w:val="24"/>
          <w:lang w:val="bs-Latn-BA"/>
        </w:rPr>
        <w:t>inosa u prvoj godini poslovanja</w:t>
      </w:r>
      <w:r w:rsidRPr="001A084E">
        <w:rPr>
          <w:rFonts w:asciiTheme="majorHAnsi" w:hAnsiTheme="majorHAnsi"/>
          <w:szCs w:val="24"/>
          <w:lang w:val="bs-Latn-BA"/>
        </w:rPr>
        <w:t>.</w:t>
      </w:r>
      <w:r w:rsidRPr="006C7DFA">
        <w:rPr>
          <w:rFonts w:asciiTheme="majorHAnsi" w:hAnsiTheme="majorHAnsi"/>
          <w:szCs w:val="24"/>
          <w:lang w:val="bs-Latn-BA"/>
        </w:rPr>
        <w:t xml:space="preserve"> </w:t>
      </w:r>
    </w:p>
    <w:p w:rsidR="00F1424F" w:rsidRPr="006C7DFA" w:rsidRDefault="00F1424F" w:rsidP="00F1424F">
      <w:pPr>
        <w:autoSpaceDE w:val="0"/>
        <w:autoSpaceDN w:val="0"/>
        <w:adjustRightInd w:val="0"/>
        <w:spacing w:after="120" w:line="276" w:lineRule="auto"/>
        <w:jc w:val="both"/>
        <w:rPr>
          <w:rFonts w:asciiTheme="majorHAnsi" w:hAnsiTheme="majorHAnsi"/>
          <w:lang w:val="bs-Latn-BA"/>
        </w:rPr>
      </w:pPr>
      <w:r w:rsidRPr="006C7DFA">
        <w:rPr>
          <w:rFonts w:asciiTheme="majorHAnsi" w:hAnsiTheme="majorHAnsi"/>
          <w:lang w:val="bs-Latn-BA"/>
        </w:rPr>
        <w:t>Za projekat „Izgradnja Centra za autizam“ su toku pregovori sa lokalnim zajednicama oko obezbjđivanja sredstava u iznosu od 500.000, KM za dovršetak adaptacije objekta čiji je jedan dio izgrađen u 2015. godini. Pored toga za projekat „Izgradnja objekta socijalnog stanovanja u Špionici i Tinji“ je urađena projektno</w:t>
      </w:r>
      <w:r w:rsidR="00F26447" w:rsidRPr="006C7DFA">
        <w:rPr>
          <w:rFonts w:asciiTheme="majorHAnsi" w:hAnsiTheme="majorHAnsi"/>
          <w:lang w:val="bs-Latn-BA"/>
        </w:rPr>
        <w:t xml:space="preserve"> </w:t>
      </w:r>
      <w:r w:rsidRPr="006C7DFA">
        <w:rPr>
          <w:rFonts w:asciiTheme="majorHAnsi" w:hAnsiTheme="majorHAnsi"/>
          <w:lang w:val="bs-Latn-BA"/>
        </w:rPr>
        <w:t>- tehnička dokumentacija i započeta je izgradnja objekta čijm bi se završetkom osiguralo socijalno stanovanje za cca 60 domaćinstava koji su u  stanju socijalne potrebe. Sa istom namjerom je pripremljen i potpisan sporazum o izgradnji zgrade socijalnog stanovanja u Lukavcu.</w:t>
      </w:r>
    </w:p>
    <w:p w:rsidR="00E154D7" w:rsidRPr="006C7DFA" w:rsidRDefault="00E154D7" w:rsidP="00212757">
      <w:pPr>
        <w:spacing w:after="120" w:line="276" w:lineRule="auto"/>
        <w:jc w:val="both"/>
        <w:rPr>
          <w:rFonts w:asciiTheme="majorHAnsi" w:hAnsiTheme="majorHAnsi"/>
          <w:szCs w:val="24"/>
          <w:lang w:val="bs-Latn-BA"/>
        </w:rPr>
      </w:pPr>
      <w:r w:rsidRPr="006C7DFA">
        <w:rPr>
          <w:rFonts w:asciiTheme="majorHAnsi" w:hAnsiTheme="majorHAnsi"/>
          <w:szCs w:val="24"/>
          <w:lang w:val="bs-Latn-BA"/>
        </w:rPr>
        <w:t>Projekti JLS su isto tako ovdje dobili svoje pose</w:t>
      </w:r>
      <w:r w:rsidR="006C7DFA" w:rsidRPr="006C7DFA">
        <w:rPr>
          <w:rFonts w:asciiTheme="majorHAnsi" w:hAnsiTheme="majorHAnsi"/>
          <w:szCs w:val="24"/>
          <w:lang w:val="bs-Latn-BA"/>
        </w:rPr>
        <w:t>b</w:t>
      </w:r>
      <w:r w:rsidRPr="006C7DFA">
        <w:rPr>
          <w:rFonts w:asciiTheme="majorHAnsi" w:hAnsiTheme="majorHAnsi"/>
          <w:szCs w:val="24"/>
          <w:lang w:val="bs-Latn-BA"/>
        </w:rPr>
        <w:t>no mjesto kako kroz podršku poduzetničkoj inftastrukturi</w:t>
      </w:r>
      <w:r w:rsidR="006C7DFA" w:rsidRPr="006C7DFA">
        <w:rPr>
          <w:rFonts w:asciiTheme="majorHAnsi" w:hAnsiTheme="majorHAnsi"/>
          <w:szCs w:val="24"/>
          <w:lang w:val="bs-Latn-BA"/>
        </w:rPr>
        <w:t>,</w:t>
      </w:r>
      <w:r w:rsidRPr="006C7DFA">
        <w:rPr>
          <w:rFonts w:asciiTheme="majorHAnsi" w:hAnsiTheme="majorHAnsi"/>
          <w:szCs w:val="24"/>
          <w:lang w:val="bs-Latn-BA"/>
        </w:rPr>
        <w:t xml:space="preserve"> i projekt</w:t>
      </w:r>
      <w:r w:rsidR="006C7DFA" w:rsidRPr="006C7DFA">
        <w:rPr>
          <w:rFonts w:asciiTheme="majorHAnsi" w:hAnsiTheme="majorHAnsi"/>
          <w:szCs w:val="24"/>
          <w:lang w:val="bs-Latn-BA"/>
        </w:rPr>
        <w:t>e</w:t>
      </w:r>
      <w:r w:rsidRPr="006C7DFA">
        <w:rPr>
          <w:rFonts w:asciiTheme="majorHAnsi" w:hAnsiTheme="majorHAnsi"/>
          <w:szCs w:val="24"/>
          <w:lang w:val="bs-Latn-BA"/>
        </w:rPr>
        <w:t xml:space="preserve"> vezan</w:t>
      </w:r>
      <w:r w:rsidR="006C7DFA" w:rsidRPr="006C7DFA">
        <w:rPr>
          <w:rFonts w:asciiTheme="majorHAnsi" w:hAnsiTheme="majorHAnsi"/>
          <w:szCs w:val="24"/>
          <w:lang w:val="bs-Latn-BA"/>
        </w:rPr>
        <w:t>e</w:t>
      </w:r>
      <w:r w:rsidRPr="006C7DFA">
        <w:rPr>
          <w:rFonts w:asciiTheme="majorHAnsi" w:hAnsiTheme="majorHAnsi"/>
          <w:szCs w:val="24"/>
          <w:lang w:val="bs-Latn-BA"/>
        </w:rPr>
        <w:t xml:space="preserve"> za komunalnu infrastrukturu i zaštitu okoliša</w:t>
      </w:r>
      <w:r w:rsidR="006C7DFA" w:rsidRPr="006C7DFA">
        <w:rPr>
          <w:rFonts w:asciiTheme="majorHAnsi" w:hAnsiTheme="majorHAnsi"/>
          <w:szCs w:val="24"/>
          <w:lang w:val="bs-Latn-BA"/>
        </w:rPr>
        <w:t>, tako i kroz podršku u identifikaciji i pripremi projekata javno-privatnog partnerstva</w:t>
      </w:r>
      <w:r w:rsidRPr="006C7DFA">
        <w:rPr>
          <w:rFonts w:asciiTheme="majorHAnsi" w:hAnsiTheme="majorHAnsi"/>
          <w:szCs w:val="24"/>
          <w:lang w:val="bs-Latn-BA"/>
        </w:rPr>
        <w:t>.</w:t>
      </w:r>
      <w:r w:rsidR="006C7DFA" w:rsidRPr="006C7DFA">
        <w:rPr>
          <w:rFonts w:asciiTheme="majorHAnsi" w:hAnsiTheme="majorHAnsi"/>
          <w:szCs w:val="24"/>
          <w:lang w:val="bs-Latn-BA"/>
        </w:rPr>
        <w:t xml:space="preserve"> Ministarstvo privrede je prvi Katalog potencijalnih projekata javno-privatnog partnerstva Tuzlanskog kantona 2018-2020 objavilo u augustu 2018. godine na bosanskom, engleskom i njemačkom jeziku, i u Katalogu je sadržan pregled od 44 potencijalna projekta, čija procijenjena ukupna vrijednost iznosi blizu 340 miliona KM. Kako bi se pripremili kvalitetni prijedlozi projekata, koji su usklađeni sa zakonskim okvirom za javno-privatno partnerstvo, Ministarstvo privrede je pripremilo program podrške, koji obuhvata sufinansiranje pripreme prijedloga projekata i održavanje edukacije za predstavnike javnih i radnih tijela.</w:t>
      </w:r>
    </w:p>
    <w:p w:rsidR="00E51F0F" w:rsidRPr="006C7DFA" w:rsidRDefault="00E51F0F" w:rsidP="00212757">
      <w:pPr>
        <w:spacing w:after="120" w:line="276" w:lineRule="auto"/>
        <w:jc w:val="both"/>
        <w:rPr>
          <w:rFonts w:asciiTheme="majorHAnsi" w:hAnsiTheme="majorHAnsi"/>
          <w:szCs w:val="24"/>
          <w:lang w:val="bs-Latn-BA"/>
        </w:rPr>
      </w:pPr>
      <w:r w:rsidRPr="006C7DFA">
        <w:rPr>
          <w:rFonts w:asciiTheme="majorHAnsi" w:hAnsiTheme="majorHAnsi"/>
          <w:szCs w:val="24"/>
          <w:lang w:val="bs-Latn-BA"/>
        </w:rPr>
        <w:lastRenderedPageBreak/>
        <w:t xml:space="preserve">Detaljan prikaz visina sredstava planiranih u sljedeće tri godine po sektorima sa brojem projekata kao i izvorima finansiranja prikazan je u </w:t>
      </w:r>
      <w:r w:rsidR="00773090" w:rsidRPr="006C7DFA">
        <w:rPr>
          <w:rFonts w:asciiTheme="majorHAnsi" w:hAnsiTheme="majorHAnsi"/>
          <w:szCs w:val="24"/>
          <w:lang w:val="bs-Latn-BA"/>
        </w:rPr>
        <w:t>t</w:t>
      </w:r>
      <w:r w:rsidRPr="006C7DFA">
        <w:rPr>
          <w:rFonts w:asciiTheme="majorHAnsi" w:hAnsiTheme="majorHAnsi"/>
          <w:szCs w:val="24"/>
          <w:lang w:val="bs-Latn-BA"/>
        </w:rPr>
        <w:t>abeli 6., u kojoj je vidljivo da je najviše sredstava planirano u sektoru saobraćajne infrastrukture, a zatim slijede sredstva za finansiranje projekata iz oblasti poljoprivrede i zdravstva, dok je najmanje sredstava planirano za projekte u sektoru turizma, a zatim u oblasti  šumarstva i civilne zaštite. Iz vanjskih izvora se najviše planira povući za aktivnosti u sektoru saobraćajne infrastrukture, dok za aktivnosti u sektorima poljoprivrede, bezbijednosti/sigurnosti i zapošljavanja nisu uopšte planirana sredstva iz vanjskih izvora.</w:t>
      </w:r>
    </w:p>
    <w:p w:rsidR="0096699B" w:rsidRPr="006C7DFA" w:rsidRDefault="0096699B" w:rsidP="0096699B">
      <w:pPr>
        <w:pStyle w:val="Caption"/>
        <w:keepNext/>
        <w:spacing w:after="0" w:line="240" w:lineRule="auto"/>
        <w:jc w:val="center"/>
        <w:rPr>
          <w:rFonts w:asciiTheme="majorHAnsi" w:hAnsiTheme="majorHAnsi" w:cs="Times New Roman"/>
          <w:color w:val="000000" w:themeColor="text1"/>
          <w:sz w:val="20"/>
          <w:szCs w:val="20"/>
          <w:lang w:val="bs-Latn-BA"/>
        </w:rPr>
      </w:pPr>
    </w:p>
    <w:p w:rsidR="009F7EDD" w:rsidRPr="006C7DFA" w:rsidRDefault="009F7EDD" w:rsidP="009F7EDD">
      <w:pPr>
        <w:pStyle w:val="Caption"/>
        <w:keepNext/>
        <w:spacing w:after="0"/>
        <w:jc w:val="center"/>
        <w:rPr>
          <w:rFonts w:asciiTheme="majorHAnsi" w:hAnsiTheme="majorHAnsi"/>
          <w:sz w:val="18"/>
          <w:szCs w:val="18"/>
          <w:lang w:val="bs-Latn-BA"/>
        </w:rPr>
      </w:pPr>
      <w:bookmarkStart w:id="10" w:name="_Toc528923131"/>
      <w:r w:rsidRPr="00870A99">
        <w:rPr>
          <w:rFonts w:asciiTheme="majorHAnsi" w:hAnsiTheme="majorHAnsi"/>
          <w:sz w:val="18"/>
          <w:szCs w:val="18"/>
          <w:lang w:val="bs-Latn-BA"/>
        </w:rPr>
        <w:t xml:space="preserve">Tabela </w:t>
      </w:r>
      <w:r w:rsidR="009F0446" w:rsidRPr="00870A99">
        <w:rPr>
          <w:rFonts w:asciiTheme="majorHAnsi" w:hAnsiTheme="majorHAnsi"/>
          <w:sz w:val="18"/>
          <w:szCs w:val="18"/>
          <w:lang w:val="bs-Latn-BA"/>
        </w:rPr>
        <w:fldChar w:fldCharType="begin"/>
      </w:r>
      <w:r w:rsidRPr="00870A99">
        <w:rPr>
          <w:rFonts w:asciiTheme="majorHAnsi" w:hAnsiTheme="majorHAnsi"/>
          <w:sz w:val="18"/>
          <w:szCs w:val="18"/>
          <w:lang w:val="bs-Latn-BA"/>
        </w:rPr>
        <w:instrText xml:space="preserve"> SEQ Tabela \* ARABIC </w:instrText>
      </w:r>
      <w:r w:rsidR="009F0446" w:rsidRPr="00870A99">
        <w:rPr>
          <w:rFonts w:asciiTheme="majorHAnsi" w:hAnsiTheme="majorHAnsi"/>
          <w:sz w:val="18"/>
          <w:szCs w:val="18"/>
          <w:lang w:val="bs-Latn-BA"/>
        </w:rPr>
        <w:fldChar w:fldCharType="separate"/>
      </w:r>
      <w:r w:rsidRPr="00870A99">
        <w:rPr>
          <w:rFonts w:asciiTheme="majorHAnsi" w:hAnsiTheme="majorHAnsi"/>
          <w:noProof/>
          <w:sz w:val="18"/>
          <w:szCs w:val="18"/>
          <w:lang w:val="bs-Latn-BA"/>
        </w:rPr>
        <w:t>6</w:t>
      </w:r>
      <w:r w:rsidR="009F0446" w:rsidRPr="00870A99">
        <w:rPr>
          <w:rFonts w:asciiTheme="majorHAnsi" w:hAnsiTheme="majorHAnsi"/>
          <w:sz w:val="18"/>
          <w:szCs w:val="18"/>
          <w:lang w:val="bs-Latn-BA"/>
        </w:rPr>
        <w:fldChar w:fldCharType="end"/>
      </w:r>
      <w:r w:rsidRPr="00870A99">
        <w:rPr>
          <w:rFonts w:asciiTheme="majorHAnsi" w:hAnsiTheme="majorHAnsi"/>
          <w:sz w:val="18"/>
          <w:szCs w:val="18"/>
          <w:lang w:val="bs-Latn-BA"/>
        </w:rPr>
        <w:t xml:space="preserve">. Struktura finansiranja po sektorima sa brojem projekata i izvorima finansiranja 2019.-2021. </w:t>
      </w:r>
      <w:r w:rsidR="00265D5F" w:rsidRPr="00870A99">
        <w:rPr>
          <w:rFonts w:asciiTheme="majorHAnsi" w:hAnsiTheme="majorHAnsi"/>
          <w:sz w:val="18"/>
          <w:szCs w:val="18"/>
          <w:lang w:val="bs-Latn-BA"/>
        </w:rPr>
        <w:t>g</w:t>
      </w:r>
      <w:r w:rsidRPr="00870A99">
        <w:rPr>
          <w:rFonts w:asciiTheme="majorHAnsi" w:hAnsiTheme="majorHAnsi"/>
          <w:sz w:val="18"/>
          <w:szCs w:val="18"/>
          <w:lang w:val="bs-Latn-BA"/>
        </w:rPr>
        <w:t>odina</w:t>
      </w:r>
      <w:bookmarkEnd w:id="10"/>
    </w:p>
    <w:tbl>
      <w:tblPr>
        <w:tblW w:w="9279" w:type="dxa"/>
        <w:jc w:val="center"/>
        <w:tblInd w:w="98" w:type="dxa"/>
        <w:tblLook w:val="04A0"/>
      </w:tblPr>
      <w:tblGrid>
        <w:gridCol w:w="2392"/>
        <w:gridCol w:w="1332"/>
        <w:gridCol w:w="1353"/>
        <w:gridCol w:w="1478"/>
        <w:gridCol w:w="1415"/>
        <w:gridCol w:w="1309"/>
      </w:tblGrid>
      <w:tr w:rsidR="00265D5F" w:rsidRPr="006C7DFA" w:rsidTr="00265D5F">
        <w:trPr>
          <w:trHeight w:val="481"/>
          <w:jc w:val="center"/>
        </w:trPr>
        <w:tc>
          <w:tcPr>
            <w:tcW w:w="2392" w:type="dxa"/>
            <w:vMerge w:val="restart"/>
            <w:tcBorders>
              <w:top w:val="single" w:sz="8" w:space="0" w:color="4F81BD"/>
              <w:left w:val="single" w:sz="8" w:space="0" w:color="4F81BD"/>
              <w:bottom w:val="single" w:sz="8" w:space="0" w:color="4F81BD"/>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Sektor</w:t>
            </w:r>
          </w:p>
        </w:tc>
        <w:tc>
          <w:tcPr>
            <w:tcW w:w="1332" w:type="dxa"/>
            <w:tcBorders>
              <w:top w:val="single" w:sz="8" w:space="0" w:color="4F81BD"/>
              <w:left w:val="nil"/>
              <w:bottom w:val="nil"/>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Broj</w:t>
            </w:r>
          </w:p>
        </w:tc>
        <w:tc>
          <w:tcPr>
            <w:tcW w:w="1353" w:type="dxa"/>
            <w:vMerge w:val="restart"/>
            <w:tcBorders>
              <w:top w:val="single" w:sz="8" w:space="0" w:color="4F81BD"/>
              <w:left w:val="dotted" w:sz="4" w:space="0" w:color="4F81BD"/>
              <w:bottom w:val="single" w:sz="8" w:space="0" w:color="4F81BD"/>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2019-2021</w:t>
            </w:r>
          </w:p>
        </w:tc>
        <w:tc>
          <w:tcPr>
            <w:tcW w:w="1478" w:type="dxa"/>
            <w:vMerge w:val="restart"/>
            <w:tcBorders>
              <w:top w:val="single" w:sz="8" w:space="0" w:color="4F81BD"/>
              <w:left w:val="dotted" w:sz="4" w:space="0" w:color="4F81BD"/>
              <w:bottom w:val="single" w:sz="8" w:space="0" w:color="4F81BD"/>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 xml:space="preserve">Vlastita budžetska sredstva </w:t>
            </w:r>
          </w:p>
        </w:tc>
        <w:tc>
          <w:tcPr>
            <w:tcW w:w="1415" w:type="dxa"/>
            <w:vMerge w:val="restart"/>
            <w:tcBorders>
              <w:top w:val="single" w:sz="8" w:space="0" w:color="4F81BD"/>
              <w:left w:val="dotted" w:sz="4" w:space="0" w:color="4F81BD"/>
              <w:bottom w:val="single" w:sz="8" w:space="0" w:color="4F81BD"/>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 xml:space="preserve">Ostala budžetska sredstva </w:t>
            </w:r>
          </w:p>
        </w:tc>
        <w:tc>
          <w:tcPr>
            <w:tcW w:w="1309" w:type="dxa"/>
            <w:vMerge w:val="restart"/>
            <w:tcBorders>
              <w:top w:val="single" w:sz="8" w:space="0" w:color="4F81BD"/>
              <w:left w:val="dotted" w:sz="4" w:space="0" w:color="4F81BD"/>
              <w:bottom w:val="single" w:sz="8" w:space="0" w:color="4F81BD"/>
              <w:right w:val="single" w:sz="8"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 xml:space="preserve">Vanjski izvori </w:t>
            </w:r>
          </w:p>
        </w:tc>
      </w:tr>
      <w:tr w:rsidR="00265D5F" w:rsidRPr="006C7DFA" w:rsidTr="00265D5F">
        <w:trPr>
          <w:trHeight w:val="534"/>
          <w:jc w:val="center"/>
        </w:trPr>
        <w:tc>
          <w:tcPr>
            <w:tcW w:w="2392" w:type="dxa"/>
            <w:vMerge/>
            <w:tcBorders>
              <w:top w:val="single" w:sz="8" w:space="0" w:color="4F81BD"/>
              <w:left w:val="single" w:sz="8" w:space="0" w:color="4F81BD"/>
              <w:bottom w:val="single" w:sz="8" w:space="0" w:color="4F81BD"/>
              <w:right w:val="dotted" w:sz="4" w:space="0" w:color="4F81BD"/>
            </w:tcBorders>
            <w:vAlign w:val="center"/>
            <w:hideMark/>
          </w:tcPr>
          <w:p w:rsidR="00265D5F" w:rsidRPr="006C7DFA" w:rsidRDefault="00265D5F" w:rsidP="00265D5F">
            <w:pPr>
              <w:rPr>
                <w:rFonts w:ascii="Cambria" w:eastAsia="Times New Roman" w:hAnsi="Cambria"/>
                <w:color w:val="000000"/>
                <w:sz w:val="18"/>
                <w:szCs w:val="18"/>
                <w:lang w:val="bs-Latn-BA"/>
              </w:rPr>
            </w:pPr>
          </w:p>
        </w:tc>
        <w:tc>
          <w:tcPr>
            <w:tcW w:w="1332" w:type="dxa"/>
            <w:tcBorders>
              <w:top w:val="nil"/>
              <w:left w:val="nil"/>
              <w:bottom w:val="single" w:sz="8" w:space="0" w:color="4F81BD"/>
              <w:right w:val="dotted" w:sz="4" w:space="0" w:color="4F81BD"/>
            </w:tcBorders>
            <w:shd w:val="clear" w:color="000000" w:fill="4F81BD"/>
            <w:vAlign w:val="center"/>
            <w:hideMark/>
          </w:tcPr>
          <w:p w:rsidR="00265D5F" w:rsidRPr="006C7DFA" w:rsidRDefault="00265D5F" w:rsidP="00265D5F">
            <w:pPr>
              <w:jc w:val="center"/>
              <w:rPr>
                <w:rFonts w:ascii="Cambria" w:eastAsia="Times New Roman" w:hAnsi="Cambria"/>
                <w:color w:val="FFFFFF" w:themeColor="background1"/>
                <w:sz w:val="18"/>
                <w:szCs w:val="18"/>
                <w:lang w:val="bs-Latn-BA"/>
              </w:rPr>
            </w:pPr>
            <w:r w:rsidRPr="006C7DFA">
              <w:rPr>
                <w:rFonts w:ascii="Cambria" w:eastAsia="Times New Roman" w:hAnsi="Cambria"/>
                <w:color w:val="FFFFFF" w:themeColor="background1"/>
                <w:sz w:val="18"/>
                <w:szCs w:val="18"/>
                <w:lang w:val="bs-Latn-BA"/>
              </w:rPr>
              <w:t>projekata</w:t>
            </w:r>
          </w:p>
        </w:tc>
        <w:tc>
          <w:tcPr>
            <w:tcW w:w="1353" w:type="dxa"/>
            <w:vMerge/>
            <w:tcBorders>
              <w:top w:val="single" w:sz="8" w:space="0" w:color="4F81BD"/>
              <w:left w:val="dotted" w:sz="4" w:space="0" w:color="4F81BD"/>
              <w:bottom w:val="single" w:sz="8" w:space="0" w:color="4F81BD"/>
              <w:right w:val="dotted" w:sz="4" w:space="0" w:color="4F81BD"/>
            </w:tcBorders>
            <w:vAlign w:val="center"/>
            <w:hideMark/>
          </w:tcPr>
          <w:p w:rsidR="00265D5F" w:rsidRPr="006C7DFA" w:rsidRDefault="00265D5F" w:rsidP="00265D5F">
            <w:pPr>
              <w:rPr>
                <w:rFonts w:ascii="Cambria" w:eastAsia="Times New Roman" w:hAnsi="Cambria"/>
                <w:color w:val="000000"/>
                <w:sz w:val="18"/>
                <w:szCs w:val="18"/>
                <w:lang w:val="bs-Latn-BA"/>
              </w:rPr>
            </w:pPr>
          </w:p>
        </w:tc>
        <w:tc>
          <w:tcPr>
            <w:tcW w:w="1478" w:type="dxa"/>
            <w:vMerge/>
            <w:tcBorders>
              <w:top w:val="single" w:sz="8" w:space="0" w:color="4F81BD"/>
              <w:left w:val="dotted" w:sz="4" w:space="0" w:color="4F81BD"/>
              <w:bottom w:val="single" w:sz="8" w:space="0" w:color="4F81BD"/>
              <w:right w:val="dotted" w:sz="4" w:space="0" w:color="4F81BD"/>
            </w:tcBorders>
            <w:vAlign w:val="center"/>
            <w:hideMark/>
          </w:tcPr>
          <w:p w:rsidR="00265D5F" w:rsidRPr="006C7DFA" w:rsidRDefault="00265D5F" w:rsidP="00265D5F">
            <w:pPr>
              <w:rPr>
                <w:rFonts w:ascii="Cambria" w:eastAsia="Times New Roman" w:hAnsi="Cambria"/>
                <w:color w:val="365F91"/>
                <w:sz w:val="18"/>
                <w:szCs w:val="18"/>
                <w:lang w:val="bs-Latn-BA"/>
              </w:rPr>
            </w:pPr>
          </w:p>
        </w:tc>
        <w:tc>
          <w:tcPr>
            <w:tcW w:w="1415" w:type="dxa"/>
            <w:vMerge/>
            <w:tcBorders>
              <w:top w:val="single" w:sz="8" w:space="0" w:color="4F81BD"/>
              <w:left w:val="dotted" w:sz="4" w:space="0" w:color="4F81BD"/>
              <w:bottom w:val="single" w:sz="8" w:space="0" w:color="4F81BD"/>
              <w:right w:val="dotted" w:sz="4" w:space="0" w:color="4F81BD"/>
            </w:tcBorders>
            <w:vAlign w:val="center"/>
            <w:hideMark/>
          </w:tcPr>
          <w:p w:rsidR="00265D5F" w:rsidRPr="006C7DFA" w:rsidRDefault="00265D5F" w:rsidP="00265D5F">
            <w:pPr>
              <w:rPr>
                <w:rFonts w:ascii="Cambria" w:eastAsia="Times New Roman" w:hAnsi="Cambria"/>
                <w:color w:val="365F91"/>
                <w:sz w:val="18"/>
                <w:szCs w:val="18"/>
                <w:lang w:val="bs-Latn-BA"/>
              </w:rPr>
            </w:pPr>
          </w:p>
        </w:tc>
        <w:tc>
          <w:tcPr>
            <w:tcW w:w="1309" w:type="dxa"/>
            <w:vMerge/>
            <w:tcBorders>
              <w:top w:val="single" w:sz="8" w:space="0" w:color="4F81BD"/>
              <w:left w:val="dotted" w:sz="4" w:space="0" w:color="4F81BD"/>
              <w:bottom w:val="single" w:sz="8" w:space="0" w:color="4F81BD"/>
              <w:right w:val="single" w:sz="8" w:space="0" w:color="4F81BD"/>
            </w:tcBorders>
            <w:vAlign w:val="center"/>
            <w:hideMark/>
          </w:tcPr>
          <w:p w:rsidR="00265D5F" w:rsidRPr="006C7DFA" w:rsidRDefault="00265D5F" w:rsidP="00265D5F">
            <w:pPr>
              <w:rPr>
                <w:rFonts w:ascii="Cambria" w:eastAsia="Times New Roman" w:hAnsi="Cambria"/>
                <w:color w:val="365F91"/>
                <w:sz w:val="18"/>
                <w:szCs w:val="18"/>
                <w:lang w:val="bs-Latn-BA"/>
              </w:rPr>
            </w:pP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Bezbijednost/ Sigurnost</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4.758.000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4.758.000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Civilna zaštita</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12</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8C1DA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8C1DA1" w:rsidRPr="006C7DFA">
              <w:rPr>
                <w:rFonts w:ascii="Cambria" w:eastAsia="Times New Roman" w:hAnsi="Cambria"/>
                <w:color w:val="000000"/>
                <w:sz w:val="18"/>
                <w:szCs w:val="18"/>
                <w:lang w:val="bs-Latn-BA"/>
              </w:rPr>
              <w:t>487</w:t>
            </w:r>
            <w:r w:rsidRPr="006C7DFA">
              <w:rPr>
                <w:rFonts w:ascii="Cambria" w:eastAsia="Times New Roman" w:hAnsi="Cambria"/>
                <w:color w:val="000000"/>
                <w:sz w:val="18"/>
                <w:szCs w:val="18"/>
                <w:lang w:val="bs-Latn-BA"/>
              </w:rPr>
              <w:t>.500</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8C1DA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w:t>
            </w:r>
            <w:r w:rsidR="008C1DA1" w:rsidRPr="006C7DFA">
              <w:rPr>
                <w:rFonts w:ascii="Cambria" w:eastAsia="Times New Roman" w:hAnsi="Cambria"/>
                <w:color w:val="000000"/>
                <w:sz w:val="18"/>
                <w:szCs w:val="18"/>
                <w:lang w:val="bs-Latn-BA"/>
              </w:rPr>
              <w:t>74</w:t>
            </w:r>
            <w:r w:rsidRPr="006C7DFA">
              <w:rPr>
                <w:rFonts w:ascii="Cambria" w:eastAsia="Times New Roman" w:hAnsi="Cambria"/>
                <w:color w:val="000000"/>
                <w:sz w:val="18"/>
                <w:szCs w:val="18"/>
                <w:lang w:val="bs-Latn-BA"/>
              </w:rPr>
              <w:t>.</w:t>
            </w:r>
            <w:r w:rsidR="008C1DA1" w:rsidRPr="006C7DFA">
              <w:rPr>
                <w:rFonts w:ascii="Cambria" w:eastAsia="Times New Roman" w:hAnsi="Cambria"/>
                <w:color w:val="000000"/>
                <w:sz w:val="18"/>
                <w:szCs w:val="18"/>
                <w:lang w:val="bs-Latn-BA"/>
              </w:rPr>
              <w:t>5</w:t>
            </w:r>
            <w:r w:rsidRPr="006C7DFA">
              <w:rPr>
                <w:rFonts w:ascii="Cambria" w:eastAsia="Times New Roman" w:hAnsi="Cambria"/>
                <w:color w:val="000000"/>
                <w:sz w:val="18"/>
                <w:szCs w:val="18"/>
                <w:lang w:val="bs-Latn-BA"/>
              </w:rPr>
              <w:t>00</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85.500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342.000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 xml:space="preserve">Energetika </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13</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72BE1" w:rsidP="00DB72C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w:t>
            </w:r>
            <w:r w:rsidR="00265D5F" w:rsidRPr="006C7DFA">
              <w:rPr>
                <w:rFonts w:ascii="Cambria" w:eastAsia="Times New Roman" w:hAnsi="Cambria"/>
                <w:color w:val="000000"/>
                <w:sz w:val="18"/>
                <w:szCs w:val="18"/>
                <w:lang w:val="bs-Latn-BA"/>
              </w:rPr>
              <w:t>.</w:t>
            </w:r>
            <w:r w:rsidR="00DB72C1">
              <w:rPr>
                <w:rFonts w:ascii="Cambria" w:eastAsia="Times New Roman" w:hAnsi="Cambria"/>
                <w:color w:val="000000"/>
                <w:sz w:val="18"/>
                <w:szCs w:val="18"/>
                <w:lang w:val="bs-Latn-BA"/>
              </w:rPr>
              <w:t>95</w:t>
            </w:r>
            <w:r w:rsidR="00265D5F" w:rsidRPr="006C7DFA">
              <w:rPr>
                <w:rFonts w:ascii="Cambria" w:eastAsia="Times New Roman" w:hAnsi="Cambria"/>
                <w:color w:val="000000"/>
                <w:sz w:val="18"/>
                <w:szCs w:val="18"/>
                <w:lang w:val="bs-Latn-BA"/>
              </w:rPr>
              <w:t>5.000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72BE1"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35</w:t>
            </w:r>
            <w:r w:rsidR="00265D5F" w:rsidRPr="006C7DFA">
              <w:rPr>
                <w:rFonts w:ascii="Cambria" w:eastAsia="Times New Roman" w:hAnsi="Cambria"/>
                <w:color w:val="000000"/>
                <w:sz w:val="18"/>
                <w:szCs w:val="18"/>
                <w:lang w:val="bs-Latn-BA"/>
              </w:rPr>
              <w:t>7.000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10.096.000</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72BE1" w:rsidP="00DB72C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w:t>
            </w:r>
            <w:r w:rsidR="00265D5F" w:rsidRPr="006C7DFA">
              <w:rPr>
                <w:rFonts w:ascii="Cambria" w:eastAsia="Times New Roman" w:hAnsi="Cambria"/>
                <w:color w:val="000000"/>
                <w:sz w:val="18"/>
                <w:szCs w:val="18"/>
                <w:lang w:val="bs-Latn-BA"/>
              </w:rPr>
              <w:t>.</w:t>
            </w:r>
            <w:r w:rsidR="00DB72C1">
              <w:rPr>
                <w:rFonts w:ascii="Cambria" w:eastAsia="Times New Roman" w:hAnsi="Cambria"/>
                <w:color w:val="000000"/>
                <w:sz w:val="18"/>
                <w:szCs w:val="18"/>
                <w:lang w:val="bs-Latn-BA"/>
              </w:rPr>
              <w:t>46</w:t>
            </w:r>
            <w:r w:rsidR="00265D5F" w:rsidRPr="006C7DFA">
              <w:rPr>
                <w:rFonts w:ascii="Cambria" w:eastAsia="Times New Roman" w:hAnsi="Cambria"/>
                <w:color w:val="000000"/>
                <w:sz w:val="18"/>
                <w:szCs w:val="18"/>
                <w:lang w:val="bs-Latn-BA"/>
              </w:rPr>
              <w:t>5.000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Kultura, sport i mladi</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17.553.217</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3.950.322</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3.870.000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6.861.310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Obrazovanje</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72BE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w:t>
            </w:r>
            <w:r w:rsidR="00272BE1" w:rsidRPr="006C7DFA">
              <w:rPr>
                <w:rFonts w:ascii="Cambria" w:eastAsia="Times New Roman" w:hAnsi="Cambria"/>
                <w:color w:val="000000"/>
                <w:sz w:val="18"/>
                <w:szCs w:val="18"/>
                <w:lang w:val="bs-Latn-BA"/>
              </w:rPr>
              <w:t>1</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24.947.462</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22.499.900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890.497</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2.256.667</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Poljoprivreda</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6</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57.750.000</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12.000.000</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45.750.000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Privreda</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DB72C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DB72C1">
              <w:rPr>
                <w:rFonts w:ascii="Cambria" w:eastAsia="Times New Roman" w:hAnsi="Cambria"/>
                <w:color w:val="000000"/>
                <w:sz w:val="18"/>
                <w:szCs w:val="18"/>
                <w:lang w:val="bs-Latn-BA"/>
              </w:rPr>
              <w:t>7</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DB72C1" w:rsidP="00DB72C1">
            <w:pPr>
              <w:jc w:val="right"/>
              <w:rPr>
                <w:rFonts w:ascii="Cambria" w:eastAsia="Times New Roman" w:hAnsi="Cambria"/>
                <w:color w:val="000000"/>
                <w:sz w:val="18"/>
                <w:szCs w:val="18"/>
                <w:lang w:val="bs-Latn-BA"/>
              </w:rPr>
            </w:pPr>
            <w:r>
              <w:rPr>
                <w:rFonts w:ascii="Cambria" w:eastAsia="Times New Roman" w:hAnsi="Cambria"/>
                <w:color w:val="000000"/>
                <w:sz w:val="18"/>
                <w:szCs w:val="18"/>
                <w:lang w:val="bs-Latn-BA"/>
              </w:rPr>
              <w:t>8</w:t>
            </w:r>
            <w:r w:rsidR="00265D5F" w:rsidRPr="006C7DFA">
              <w:rPr>
                <w:rFonts w:ascii="Cambria" w:eastAsia="Times New Roman" w:hAnsi="Cambria"/>
                <w:color w:val="000000"/>
                <w:sz w:val="18"/>
                <w:szCs w:val="18"/>
                <w:lang w:val="bs-Latn-BA"/>
              </w:rPr>
              <w:t>.</w:t>
            </w:r>
            <w:r>
              <w:rPr>
                <w:rFonts w:ascii="Cambria" w:eastAsia="Times New Roman" w:hAnsi="Cambria"/>
                <w:color w:val="000000"/>
                <w:sz w:val="18"/>
                <w:szCs w:val="18"/>
                <w:lang w:val="bs-Latn-BA"/>
              </w:rPr>
              <w:t>170</w:t>
            </w:r>
            <w:r w:rsidR="00265D5F" w:rsidRPr="006C7DFA">
              <w:rPr>
                <w:rFonts w:ascii="Cambria" w:eastAsia="Times New Roman" w:hAnsi="Cambria"/>
                <w:color w:val="000000"/>
                <w:sz w:val="18"/>
                <w:szCs w:val="18"/>
                <w:lang w:val="bs-Latn-BA"/>
              </w:rPr>
              <w:t>.</w:t>
            </w:r>
            <w:r>
              <w:rPr>
                <w:rFonts w:ascii="Cambria" w:eastAsia="Times New Roman" w:hAnsi="Cambria"/>
                <w:color w:val="000000"/>
                <w:sz w:val="18"/>
                <w:szCs w:val="18"/>
                <w:lang w:val="bs-Latn-BA"/>
              </w:rPr>
              <w:t>000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DB72C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6.</w:t>
            </w:r>
            <w:r w:rsidR="00DB72C1">
              <w:rPr>
                <w:rFonts w:ascii="Cambria" w:eastAsia="Times New Roman" w:hAnsi="Cambria"/>
                <w:color w:val="000000"/>
                <w:sz w:val="18"/>
                <w:szCs w:val="18"/>
                <w:lang w:val="bs-Latn-BA"/>
              </w:rPr>
              <w:t>323</w:t>
            </w:r>
            <w:r w:rsidRPr="006C7DFA">
              <w:rPr>
                <w:rFonts w:ascii="Cambria" w:eastAsia="Times New Roman" w:hAnsi="Cambria"/>
                <w:color w:val="000000"/>
                <w:sz w:val="18"/>
                <w:szCs w:val="18"/>
                <w:lang w:val="bs-Latn-BA"/>
              </w:rPr>
              <w:t>.2</w:t>
            </w:r>
            <w:r w:rsidR="00DB72C1">
              <w:rPr>
                <w:rFonts w:ascii="Cambria" w:eastAsia="Times New Roman" w:hAnsi="Cambria"/>
                <w:color w:val="000000"/>
                <w:sz w:val="18"/>
                <w:szCs w:val="18"/>
                <w:lang w:val="bs-Latn-BA"/>
              </w:rPr>
              <w:t>00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DB72C1" w:rsidP="00DB72C1">
            <w:pPr>
              <w:jc w:val="right"/>
              <w:rPr>
                <w:rFonts w:ascii="Cambria" w:eastAsia="Times New Roman" w:hAnsi="Cambria"/>
                <w:color w:val="000000"/>
                <w:sz w:val="18"/>
                <w:szCs w:val="18"/>
                <w:lang w:val="bs-Latn-BA"/>
              </w:rPr>
            </w:pPr>
            <w:r>
              <w:rPr>
                <w:rFonts w:ascii="Cambria" w:eastAsia="Times New Roman" w:hAnsi="Cambria"/>
                <w:color w:val="000000"/>
                <w:sz w:val="18"/>
                <w:szCs w:val="18"/>
                <w:lang w:val="bs-Latn-BA"/>
              </w:rPr>
              <w:t>2</w:t>
            </w:r>
            <w:r w:rsidR="00265D5F" w:rsidRPr="006C7DFA">
              <w:rPr>
                <w:rFonts w:ascii="Cambria" w:eastAsia="Times New Roman" w:hAnsi="Cambria"/>
                <w:color w:val="000000"/>
                <w:sz w:val="18"/>
                <w:szCs w:val="18"/>
                <w:lang w:val="bs-Latn-BA"/>
              </w:rPr>
              <w:t>.</w:t>
            </w:r>
            <w:r>
              <w:rPr>
                <w:rFonts w:ascii="Cambria" w:eastAsia="Times New Roman" w:hAnsi="Cambria"/>
                <w:color w:val="000000"/>
                <w:sz w:val="18"/>
                <w:szCs w:val="18"/>
                <w:lang w:val="bs-Latn-BA"/>
              </w:rPr>
              <w:t>440</w:t>
            </w:r>
            <w:r w:rsidR="00265D5F" w:rsidRPr="006C7DFA">
              <w:rPr>
                <w:rFonts w:ascii="Cambria" w:eastAsia="Times New Roman" w:hAnsi="Cambria"/>
                <w:color w:val="000000"/>
                <w:sz w:val="18"/>
                <w:szCs w:val="18"/>
                <w:lang w:val="bs-Latn-BA"/>
              </w:rPr>
              <w:t>.000</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DB72C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3.5</w:t>
            </w:r>
            <w:r w:rsidR="00DB72C1">
              <w:rPr>
                <w:rFonts w:ascii="Cambria" w:eastAsia="Times New Roman" w:hAnsi="Cambria"/>
                <w:color w:val="000000"/>
                <w:sz w:val="18"/>
                <w:szCs w:val="18"/>
                <w:lang w:val="bs-Latn-BA"/>
              </w:rPr>
              <w:t>86</w:t>
            </w:r>
            <w:r w:rsidRPr="006C7DFA">
              <w:rPr>
                <w:rFonts w:ascii="Cambria" w:eastAsia="Times New Roman" w:hAnsi="Cambria"/>
                <w:color w:val="000000"/>
                <w:sz w:val="18"/>
                <w:szCs w:val="18"/>
                <w:lang w:val="bs-Latn-BA"/>
              </w:rPr>
              <w:t>.8</w:t>
            </w:r>
            <w:r w:rsidR="00DB72C1">
              <w:rPr>
                <w:rFonts w:ascii="Cambria" w:eastAsia="Times New Roman" w:hAnsi="Cambria"/>
                <w:color w:val="000000"/>
                <w:sz w:val="18"/>
                <w:szCs w:val="18"/>
                <w:lang w:val="bs-Latn-BA"/>
              </w:rPr>
              <w:t>0</w:t>
            </w:r>
            <w:r w:rsidRPr="006C7DFA">
              <w:rPr>
                <w:rFonts w:ascii="Cambria" w:eastAsia="Times New Roman" w:hAnsi="Cambria"/>
                <w:color w:val="000000"/>
                <w:sz w:val="18"/>
                <w:szCs w:val="18"/>
                <w:lang w:val="bs-Latn-BA"/>
              </w:rPr>
              <w:t>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Saobraćajna infrastruktura</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100.568.767</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990.000</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3.822.000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98.388.767</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Socijalna zaštita</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B13861" w:rsidP="00265D5F">
            <w:pPr>
              <w:jc w:val="right"/>
              <w:rPr>
                <w:rFonts w:ascii="Cambria" w:eastAsia="Times New Roman" w:hAnsi="Cambria"/>
                <w:color w:val="000000"/>
                <w:sz w:val="18"/>
                <w:szCs w:val="18"/>
                <w:lang w:val="bs-Latn-BA"/>
              </w:rPr>
            </w:pPr>
            <w:r>
              <w:rPr>
                <w:rFonts w:ascii="Cambria" w:eastAsia="Times New Roman" w:hAnsi="Cambria"/>
                <w:color w:val="000000"/>
                <w:sz w:val="18"/>
                <w:szCs w:val="18"/>
                <w:lang w:val="bs-Latn-BA"/>
              </w:rPr>
              <w:t>12</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72BE1" w:rsidP="005B5A20">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15.</w:t>
            </w:r>
            <w:r w:rsidR="005B5A20">
              <w:rPr>
                <w:rFonts w:ascii="Cambria" w:eastAsia="Times New Roman" w:hAnsi="Cambria"/>
                <w:color w:val="000000"/>
                <w:sz w:val="18"/>
                <w:szCs w:val="18"/>
                <w:lang w:val="bs-Latn-BA"/>
              </w:rPr>
              <w:t>3</w:t>
            </w:r>
            <w:r w:rsidRPr="006C7DFA">
              <w:rPr>
                <w:rFonts w:ascii="Cambria" w:eastAsia="Times New Roman" w:hAnsi="Cambria"/>
                <w:color w:val="000000"/>
                <w:sz w:val="18"/>
                <w:szCs w:val="18"/>
                <w:lang w:val="bs-Latn-BA"/>
              </w:rPr>
              <w:t>1</w:t>
            </w:r>
            <w:r w:rsidR="005B5A20">
              <w:rPr>
                <w:rFonts w:ascii="Cambria" w:eastAsia="Times New Roman" w:hAnsi="Cambria"/>
                <w:color w:val="000000"/>
                <w:sz w:val="18"/>
                <w:szCs w:val="18"/>
                <w:lang w:val="bs-Latn-BA"/>
              </w:rPr>
              <w:t>5</w:t>
            </w:r>
            <w:r w:rsidR="00265D5F" w:rsidRPr="006C7DFA">
              <w:rPr>
                <w:rFonts w:ascii="Cambria" w:eastAsia="Times New Roman" w:hAnsi="Cambria"/>
                <w:color w:val="000000"/>
                <w:sz w:val="18"/>
                <w:szCs w:val="18"/>
                <w:lang w:val="bs-Latn-BA"/>
              </w:rPr>
              <w:t>.</w:t>
            </w:r>
            <w:r w:rsidRPr="006C7DFA">
              <w:rPr>
                <w:rFonts w:ascii="Cambria" w:eastAsia="Times New Roman" w:hAnsi="Cambria"/>
                <w:color w:val="000000"/>
                <w:sz w:val="18"/>
                <w:szCs w:val="18"/>
                <w:lang w:val="bs-Latn-BA"/>
              </w:rPr>
              <w:t>2</w:t>
            </w:r>
            <w:r w:rsidR="00265D5F" w:rsidRPr="006C7DFA">
              <w:rPr>
                <w:rFonts w:ascii="Cambria" w:eastAsia="Times New Roman" w:hAnsi="Cambria"/>
                <w:color w:val="000000"/>
                <w:sz w:val="18"/>
                <w:szCs w:val="18"/>
                <w:lang w:val="bs-Latn-BA"/>
              </w:rPr>
              <w:t>00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72BE1" w:rsidP="005B5A20">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870A99">
              <w:rPr>
                <w:rFonts w:ascii="Cambria" w:eastAsia="Times New Roman" w:hAnsi="Cambria"/>
                <w:color w:val="000000"/>
                <w:sz w:val="18"/>
                <w:szCs w:val="18"/>
                <w:lang w:val="bs-Latn-BA"/>
              </w:rPr>
              <w:t>2</w:t>
            </w:r>
            <w:r w:rsidR="00265D5F" w:rsidRPr="006C7DFA">
              <w:rPr>
                <w:rFonts w:ascii="Cambria" w:eastAsia="Times New Roman" w:hAnsi="Cambria"/>
                <w:color w:val="000000"/>
                <w:sz w:val="18"/>
                <w:szCs w:val="18"/>
                <w:lang w:val="bs-Latn-BA"/>
              </w:rPr>
              <w:t>.</w:t>
            </w:r>
            <w:r w:rsidR="005B5A20">
              <w:rPr>
                <w:rFonts w:ascii="Cambria" w:eastAsia="Times New Roman" w:hAnsi="Cambria"/>
                <w:color w:val="000000"/>
                <w:sz w:val="18"/>
                <w:szCs w:val="18"/>
                <w:lang w:val="bs-Latn-BA"/>
              </w:rPr>
              <w:t>910</w:t>
            </w:r>
            <w:r w:rsidR="00265D5F" w:rsidRPr="006C7DFA">
              <w:rPr>
                <w:rFonts w:ascii="Cambria" w:eastAsia="Times New Roman" w:hAnsi="Cambria"/>
                <w:color w:val="000000"/>
                <w:sz w:val="18"/>
                <w:szCs w:val="18"/>
                <w:lang w:val="bs-Latn-BA"/>
              </w:rPr>
              <w:t>.</w:t>
            </w:r>
            <w:r w:rsidRPr="006C7DFA">
              <w:rPr>
                <w:rFonts w:ascii="Cambria" w:eastAsia="Times New Roman" w:hAnsi="Cambria"/>
                <w:color w:val="000000"/>
                <w:sz w:val="18"/>
                <w:szCs w:val="18"/>
                <w:lang w:val="bs-Latn-BA"/>
              </w:rPr>
              <w:t>2</w:t>
            </w:r>
            <w:r w:rsidR="00265D5F" w:rsidRPr="006C7DFA">
              <w:rPr>
                <w:rFonts w:ascii="Cambria" w:eastAsia="Times New Roman" w:hAnsi="Cambria"/>
                <w:color w:val="000000"/>
                <w:sz w:val="18"/>
                <w:szCs w:val="18"/>
                <w:lang w:val="bs-Latn-BA"/>
              </w:rPr>
              <w:t>00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72BE1" w:rsidP="00272BE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1.90</w:t>
            </w:r>
            <w:r w:rsidR="00265D5F" w:rsidRPr="006C7DFA">
              <w:rPr>
                <w:rFonts w:ascii="Cambria" w:eastAsia="Times New Roman" w:hAnsi="Cambria"/>
                <w:color w:val="000000"/>
                <w:sz w:val="18"/>
                <w:szCs w:val="18"/>
                <w:lang w:val="bs-Latn-BA"/>
              </w:rPr>
              <w:t>0.000</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72BE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w:t>
            </w:r>
            <w:r w:rsidR="00272BE1" w:rsidRPr="006C7DFA">
              <w:rPr>
                <w:rFonts w:ascii="Cambria" w:eastAsia="Times New Roman" w:hAnsi="Cambria"/>
                <w:color w:val="000000"/>
                <w:sz w:val="18"/>
                <w:szCs w:val="18"/>
                <w:lang w:val="bs-Latn-BA"/>
              </w:rPr>
              <w:t>00</w:t>
            </w:r>
            <w:r w:rsidRPr="006C7DFA">
              <w:rPr>
                <w:rFonts w:ascii="Cambria" w:eastAsia="Times New Roman" w:hAnsi="Cambria"/>
                <w:color w:val="000000"/>
                <w:sz w:val="18"/>
                <w:szCs w:val="18"/>
                <w:lang w:val="bs-Latn-BA"/>
              </w:rPr>
              <w:t>0.000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Turizam</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720.000</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83.733</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4.000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598.933</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Vodna infrastruktura</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22</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26.939.361</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15.298.517</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9.232.676</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3.023.600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Zapošljavanje</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18</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41.310.000</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72BE1">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w:t>
            </w:r>
            <w:r w:rsidR="00272BE1" w:rsidRPr="006C7DFA">
              <w:rPr>
                <w:rFonts w:ascii="Cambria" w:eastAsia="Times New Roman" w:hAnsi="Cambria"/>
                <w:color w:val="000000"/>
                <w:sz w:val="18"/>
                <w:szCs w:val="18"/>
                <w:lang w:val="bs-Latn-BA"/>
              </w:rPr>
              <w:t>675</w:t>
            </w:r>
            <w:r w:rsidRPr="006C7DFA">
              <w:rPr>
                <w:rFonts w:ascii="Cambria" w:eastAsia="Times New Roman" w:hAnsi="Cambria"/>
                <w:color w:val="000000"/>
                <w:sz w:val="18"/>
                <w:szCs w:val="18"/>
                <w:lang w:val="bs-Latn-BA"/>
              </w:rPr>
              <w:t>.000</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37.770.000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Zaštita okoliša</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16</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4.458.750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1.618.396</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1.088.708</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1.181.542</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000000" w:fill="D3DFEE"/>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Zdravstvo</w:t>
            </w:r>
          </w:p>
        </w:tc>
        <w:tc>
          <w:tcPr>
            <w:tcW w:w="1332"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13</w:t>
            </w:r>
          </w:p>
        </w:tc>
        <w:tc>
          <w:tcPr>
            <w:tcW w:w="1353"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51.407.000</w:t>
            </w:r>
          </w:p>
        </w:tc>
        <w:tc>
          <w:tcPr>
            <w:tcW w:w="1478"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10.257.000</w:t>
            </w:r>
          </w:p>
        </w:tc>
        <w:tc>
          <w:tcPr>
            <w:tcW w:w="1415" w:type="dxa"/>
            <w:tcBorders>
              <w:top w:val="nil"/>
              <w:left w:val="nil"/>
              <w:bottom w:val="nil"/>
              <w:right w:val="dotted" w:sz="4"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c>
          <w:tcPr>
            <w:tcW w:w="1309" w:type="dxa"/>
            <w:tcBorders>
              <w:top w:val="nil"/>
              <w:left w:val="nil"/>
              <w:bottom w:val="nil"/>
              <w:right w:val="single" w:sz="8" w:space="0" w:color="4F81BD"/>
            </w:tcBorders>
            <w:shd w:val="clear" w:color="000000" w:fill="D3DFEE"/>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400.000</w:t>
            </w:r>
          </w:p>
        </w:tc>
      </w:tr>
      <w:tr w:rsidR="00265D5F" w:rsidRPr="006C7DFA" w:rsidTr="00265D5F">
        <w:trPr>
          <w:trHeight w:val="356"/>
          <w:jc w:val="center"/>
        </w:trPr>
        <w:tc>
          <w:tcPr>
            <w:tcW w:w="2392" w:type="dxa"/>
            <w:tcBorders>
              <w:top w:val="nil"/>
              <w:left w:val="single" w:sz="8" w:space="0" w:color="4F81BD"/>
              <w:bottom w:val="nil"/>
              <w:right w:val="dotted" w:sz="4" w:space="0" w:color="4F81BD"/>
            </w:tcBorders>
            <w:shd w:val="clear" w:color="auto" w:fill="auto"/>
            <w:noWrap/>
            <w:vAlign w:val="center"/>
            <w:hideMark/>
          </w:tcPr>
          <w:p w:rsidR="00265D5F" w:rsidRPr="006C7DFA" w:rsidRDefault="00265D5F" w:rsidP="00265D5F">
            <w:pPr>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Šumarstvo</w:t>
            </w:r>
          </w:p>
        </w:tc>
        <w:tc>
          <w:tcPr>
            <w:tcW w:w="1332"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6</w:t>
            </w:r>
          </w:p>
        </w:tc>
        <w:tc>
          <w:tcPr>
            <w:tcW w:w="1353"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775.000</w:t>
            </w:r>
          </w:p>
        </w:tc>
        <w:tc>
          <w:tcPr>
            <w:tcW w:w="1478"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471.250</w:t>
            </w:r>
          </w:p>
        </w:tc>
        <w:tc>
          <w:tcPr>
            <w:tcW w:w="1415" w:type="dxa"/>
            <w:tcBorders>
              <w:top w:val="nil"/>
              <w:left w:val="nil"/>
              <w:bottom w:val="nil"/>
              <w:right w:val="dotted" w:sz="4"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0</w:t>
            </w:r>
          </w:p>
        </w:tc>
        <w:tc>
          <w:tcPr>
            <w:tcW w:w="1309" w:type="dxa"/>
            <w:tcBorders>
              <w:top w:val="nil"/>
              <w:left w:val="nil"/>
              <w:bottom w:val="nil"/>
              <w:right w:val="single" w:sz="8" w:space="0" w:color="4F81BD"/>
            </w:tcBorders>
            <w:shd w:val="clear" w:color="auto" w:fill="auto"/>
            <w:noWrap/>
            <w:vAlign w:val="center"/>
            <w:hideMark/>
          </w:tcPr>
          <w:p w:rsidR="00265D5F" w:rsidRPr="006C7DFA" w:rsidRDefault="00265D5F" w:rsidP="00265D5F">
            <w:pPr>
              <w:jc w:val="right"/>
              <w:rPr>
                <w:rFonts w:ascii="Cambria" w:eastAsia="Times New Roman" w:hAnsi="Cambria"/>
                <w:color w:val="000000"/>
                <w:sz w:val="18"/>
                <w:szCs w:val="18"/>
                <w:lang w:val="bs-Latn-BA"/>
              </w:rPr>
            </w:pPr>
            <w:r w:rsidRPr="006C7DFA">
              <w:rPr>
                <w:rFonts w:ascii="Cambria" w:eastAsia="Times New Roman" w:hAnsi="Cambria"/>
                <w:color w:val="000000"/>
                <w:sz w:val="18"/>
                <w:szCs w:val="18"/>
                <w:lang w:val="bs-Latn-BA"/>
              </w:rPr>
              <w:t>303.750</w:t>
            </w:r>
          </w:p>
        </w:tc>
      </w:tr>
      <w:tr w:rsidR="00265D5F" w:rsidRPr="006C7DFA" w:rsidTr="00265D5F">
        <w:trPr>
          <w:trHeight w:val="375"/>
          <w:jc w:val="center"/>
        </w:trPr>
        <w:tc>
          <w:tcPr>
            <w:tcW w:w="2392" w:type="dxa"/>
            <w:tcBorders>
              <w:top w:val="nil"/>
              <w:left w:val="single" w:sz="8" w:space="0" w:color="4F81BD"/>
              <w:bottom w:val="single" w:sz="8" w:space="0" w:color="4F81BD"/>
              <w:right w:val="dotted" w:sz="4" w:space="0" w:color="4F81BD"/>
            </w:tcBorders>
            <w:shd w:val="clear" w:color="000000" w:fill="D3DFEE"/>
            <w:noWrap/>
            <w:vAlign w:val="bottom"/>
            <w:hideMark/>
          </w:tcPr>
          <w:p w:rsidR="00265D5F" w:rsidRPr="006C7DFA" w:rsidRDefault="00265D5F" w:rsidP="00265D5F">
            <w:pPr>
              <w:jc w:val="center"/>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UKUPNO</w:t>
            </w:r>
          </w:p>
        </w:tc>
        <w:tc>
          <w:tcPr>
            <w:tcW w:w="1332" w:type="dxa"/>
            <w:tcBorders>
              <w:top w:val="nil"/>
              <w:left w:val="nil"/>
              <w:bottom w:val="single" w:sz="8" w:space="0" w:color="4F81BD"/>
              <w:right w:val="dotted" w:sz="4" w:space="0" w:color="4F81BD"/>
            </w:tcBorders>
            <w:shd w:val="clear" w:color="000000" w:fill="D3DFEE"/>
            <w:noWrap/>
            <w:vAlign w:val="center"/>
            <w:hideMark/>
          </w:tcPr>
          <w:p w:rsidR="00265D5F" w:rsidRPr="006C7DFA" w:rsidRDefault="00265D5F" w:rsidP="00B13861">
            <w:pPr>
              <w:jc w:val="right"/>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1</w:t>
            </w:r>
            <w:r w:rsidR="00B13861">
              <w:rPr>
                <w:rFonts w:ascii="Cambria" w:eastAsia="Times New Roman" w:hAnsi="Cambria"/>
                <w:b/>
                <w:bCs/>
                <w:color w:val="000000"/>
                <w:sz w:val="18"/>
                <w:szCs w:val="18"/>
                <w:lang w:val="bs-Latn-BA"/>
              </w:rPr>
              <w:t>80</w:t>
            </w:r>
          </w:p>
        </w:tc>
        <w:tc>
          <w:tcPr>
            <w:tcW w:w="1353" w:type="dxa"/>
            <w:tcBorders>
              <w:top w:val="nil"/>
              <w:left w:val="nil"/>
              <w:bottom w:val="single" w:sz="8" w:space="0" w:color="4F81BD"/>
              <w:right w:val="dotted" w:sz="4" w:space="0" w:color="4F81BD"/>
            </w:tcBorders>
            <w:shd w:val="clear" w:color="000000" w:fill="D3DFEE"/>
            <w:noWrap/>
            <w:vAlign w:val="center"/>
            <w:hideMark/>
          </w:tcPr>
          <w:p w:rsidR="00265D5F" w:rsidRPr="006C7DFA" w:rsidRDefault="00265D5F" w:rsidP="005B5A20">
            <w:pPr>
              <w:jc w:val="right"/>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3</w:t>
            </w:r>
            <w:r w:rsidR="00272BE1" w:rsidRPr="006C7DFA">
              <w:rPr>
                <w:rFonts w:ascii="Cambria" w:eastAsia="Times New Roman" w:hAnsi="Cambria"/>
                <w:b/>
                <w:bCs/>
                <w:color w:val="000000"/>
                <w:sz w:val="18"/>
                <w:szCs w:val="18"/>
                <w:lang w:val="bs-Latn-BA"/>
              </w:rPr>
              <w:t>6</w:t>
            </w:r>
            <w:r w:rsidR="005B5A20">
              <w:rPr>
                <w:rFonts w:ascii="Cambria" w:eastAsia="Times New Roman" w:hAnsi="Cambria"/>
                <w:b/>
                <w:bCs/>
                <w:color w:val="000000"/>
                <w:sz w:val="18"/>
                <w:szCs w:val="18"/>
                <w:lang w:val="bs-Latn-BA"/>
              </w:rPr>
              <w:t>7</w:t>
            </w:r>
            <w:r w:rsidRPr="006C7DFA">
              <w:rPr>
                <w:rFonts w:ascii="Cambria" w:eastAsia="Times New Roman" w:hAnsi="Cambria"/>
                <w:b/>
                <w:bCs/>
                <w:color w:val="000000"/>
                <w:sz w:val="18"/>
                <w:szCs w:val="18"/>
                <w:lang w:val="bs-Latn-BA"/>
              </w:rPr>
              <w:t>.</w:t>
            </w:r>
            <w:r w:rsidR="005B5A20">
              <w:rPr>
                <w:rFonts w:ascii="Cambria" w:eastAsia="Times New Roman" w:hAnsi="Cambria"/>
                <w:b/>
                <w:bCs/>
                <w:color w:val="000000"/>
                <w:sz w:val="18"/>
                <w:szCs w:val="18"/>
                <w:lang w:val="bs-Latn-BA"/>
              </w:rPr>
              <w:t>448</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757</w:t>
            </w:r>
          </w:p>
        </w:tc>
        <w:tc>
          <w:tcPr>
            <w:tcW w:w="1478" w:type="dxa"/>
            <w:tcBorders>
              <w:top w:val="nil"/>
              <w:left w:val="nil"/>
              <w:bottom w:val="single" w:sz="8" w:space="0" w:color="4F81BD"/>
              <w:right w:val="dotted" w:sz="4" w:space="0" w:color="4F81BD"/>
            </w:tcBorders>
            <w:shd w:val="clear" w:color="000000" w:fill="D3DFEE"/>
            <w:noWrap/>
            <w:vAlign w:val="center"/>
            <w:hideMark/>
          </w:tcPr>
          <w:p w:rsidR="00265D5F" w:rsidRPr="006C7DFA" w:rsidRDefault="00272BE1" w:rsidP="005B5A20">
            <w:pPr>
              <w:jc w:val="right"/>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95</w:t>
            </w:r>
            <w:r w:rsidR="00265D5F" w:rsidRPr="006C7DFA">
              <w:rPr>
                <w:rFonts w:ascii="Cambria" w:eastAsia="Times New Roman" w:hAnsi="Cambria"/>
                <w:b/>
                <w:bCs/>
                <w:color w:val="000000"/>
                <w:sz w:val="18"/>
                <w:szCs w:val="18"/>
                <w:lang w:val="bs-Latn-BA"/>
              </w:rPr>
              <w:t>.</w:t>
            </w:r>
            <w:r w:rsidR="005B5A20">
              <w:rPr>
                <w:rFonts w:ascii="Cambria" w:eastAsia="Times New Roman" w:hAnsi="Cambria"/>
                <w:b/>
                <w:bCs/>
                <w:color w:val="000000"/>
                <w:sz w:val="18"/>
                <w:szCs w:val="18"/>
                <w:lang w:val="bs-Latn-BA"/>
              </w:rPr>
              <w:t>901</w:t>
            </w:r>
            <w:r w:rsidR="00265D5F"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017</w:t>
            </w:r>
          </w:p>
        </w:tc>
        <w:tc>
          <w:tcPr>
            <w:tcW w:w="1415" w:type="dxa"/>
            <w:tcBorders>
              <w:top w:val="nil"/>
              <w:left w:val="nil"/>
              <w:bottom w:val="single" w:sz="8" w:space="0" w:color="4F81BD"/>
              <w:right w:val="dotted" w:sz="4" w:space="0" w:color="4F81BD"/>
            </w:tcBorders>
            <w:shd w:val="clear" w:color="000000" w:fill="D3DFEE"/>
            <w:noWrap/>
            <w:vAlign w:val="center"/>
            <w:hideMark/>
          </w:tcPr>
          <w:p w:rsidR="00265D5F" w:rsidRPr="006C7DFA" w:rsidRDefault="008C1DA1" w:rsidP="00DB72C1">
            <w:pPr>
              <w:jc w:val="right"/>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116.</w:t>
            </w:r>
            <w:r w:rsidR="00265D5F" w:rsidRPr="006C7DFA">
              <w:rPr>
                <w:rFonts w:ascii="Cambria" w:eastAsia="Times New Roman" w:hAnsi="Cambria"/>
                <w:b/>
                <w:bCs/>
                <w:color w:val="000000"/>
                <w:sz w:val="18"/>
                <w:szCs w:val="18"/>
                <w:lang w:val="bs-Latn-BA"/>
              </w:rPr>
              <w:t>9</w:t>
            </w:r>
            <w:r w:rsidR="00DB72C1">
              <w:rPr>
                <w:rFonts w:ascii="Cambria" w:eastAsia="Times New Roman" w:hAnsi="Cambria"/>
                <w:b/>
                <w:bCs/>
                <w:color w:val="000000"/>
                <w:sz w:val="18"/>
                <w:szCs w:val="18"/>
                <w:lang w:val="bs-Latn-BA"/>
              </w:rPr>
              <w:t>49</w:t>
            </w:r>
            <w:r w:rsidR="00265D5F" w:rsidRPr="006C7DFA">
              <w:rPr>
                <w:rFonts w:ascii="Cambria" w:eastAsia="Times New Roman" w:hAnsi="Cambria"/>
                <w:b/>
                <w:bCs/>
                <w:color w:val="000000"/>
                <w:sz w:val="18"/>
                <w:szCs w:val="18"/>
                <w:lang w:val="bs-Latn-BA"/>
              </w:rPr>
              <w:t>.381</w:t>
            </w:r>
          </w:p>
        </w:tc>
        <w:tc>
          <w:tcPr>
            <w:tcW w:w="1309" w:type="dxa"/>
            <w:tcBorders>
              <w:top w:val="nil"/>
              <w:left w:val="nil"/>
              <w:bottom w:val="single" w:sz="8" w:space="0" w:color="4F81BD"/>
              <w:right w:val="single" w:sz="8" w:space="0" w:color="4F81BD"/>
            </w:tcBorders>
            <w:shd w:val="clear" w:color="000000" w:fill="D3DFEE"/>
            <w:noWrap/>
            <w:vAlign w:val="center"/>
            <w:hideMark/>
          </w:tcPr>
          <w:p w:rsidR="00265D5F" w:rsidRPr="006C7DFA" w:rsidRDefault="00265D5F" w:rsidP="00DB72C1">
            <w:pPr>
              <w:jc w:val="right"/>
              <w:rPr>
                <w:rFonts w:ascii="Cambria" w:eastAsia="Times New Roman" w:hAnsi="Cambria"/>
                <w:b/>
                <w:bCs/>
                <w:color w:val="000000"/>
                <w:sz w:val="18"/>
                <w:szCs w:val="18"/>
                <w:lang w:val="bs-Latn-BA"/>
              </w:rPr>
            </w:pPr>
            <w:r w:rsidRPr="006C7DFA">
              <w:rPr>
                <w:rFonts w:ascii="Cambria" w:eastAsia="Times New Roman" w:hAnsi="Cambria"/>
                <w:b/>
                <w:bCs/>
                <w:color w:val="000000"/>
                <w:sz w:val="18"/>
                <w:szCs w:val="18"/>
                <w:lang w:val="bs-Latn-BA"/>
              </w:rPr>
              <w:t>1</w:t>
            </w:r>
            <w:r w:rsidR="00272BE1" w:rsidRPr="006C7DFA">
              <w:rPr>
                <w:rFonts w:ascii="Cambria" w:eastAsia="Times New Roman" w:hAnsi="Cambria"/>
                <w:b/>
                <w:bCs/>
                <w:color w:val="000000"/>
                <w:sz w:val="18"/>
                <w:szCs w:val="18"/>
                <w:lang w:val="bs-Latn-BA"/>
              </w:rPr>
              <w:t>2</w:t>
            </w:r>
            <w:r w:rsidR="008C1DA1" w:rsidRPr="006C7DFA">
              <w:rPr>
                <w:rFonts w:ascii="Cambria" w:eastAsia="Times New Roman" w:hAnsi="Cambria"/>
                <w:b/>
                <w:bCs/>
                <w:color w:val="000000"/>
                <w:sz w:val="18"/>
                <w:szCs w:val="18"/>
                <w:lang w:val="bs-Latn-BA"/>
              </w:rPr>
              <w:t>1</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408</w:t>
            </w:r>
            <w:r w:rsidRPr="006C7DFA">
              <w:rPr>
                <w:rFonts w:ascii="Cambria" w:eastAsia="Times New Roman" w:hAnsi="Cambria"/>
                <w:b/>
                <w:bCs/>
                <w:color w:val="000000"/>
                <w:sz w:val="18"/>
                <w:szCs w:val="18"/>
                <w:lang w:val="bs-Latn-BA"/>
              </w:rPr>
              <w:t>.</w:t>
            </w:r>
            <w:r w:rsidR="00DB72C1">
              <w:rPr>
                <w:rFonts w:ascii="Cambria" w:eastAsia="Times New Roman" w:hAnsi="Cambria"/>
                <w:b/>
                <w:bCs/>
                <w:color w:val="000000"/>
                <w:sz w:val="18"/>
                <w:szCs w:val="18"/>
                <w:lang w:val="bs-Latn-BA"/>
              </w:rPr>
              <w:t>36</w:t>
            </w:r>
            <w:r w:rsidRPr="006C7DFA">
              <w:rPr>
                <w:rFonts w:ascii="Cambria" w:eastAsia="Times New Roman" w:hAnsi="Cambria"/>
                <w:b/>
                <w:bCs/>
                <w:color w:val="000000"/>
                <w:sz w:val="18"/>
                <w:szCs w:val="18"/>
                <w:lang w:val="bs-Latn-BA"/>
              </w:rPr>
              <w:t>9</w:t>
            </w:r>
          </w:p>
        </w:tc>
      </w:tr>
    </w:tbl>
    <w:p w:rsidR="00265D5F" w:rsidRPr="006C7DFA" w:rsidRDefault="00265D5F" w:rsidP="00265D5F">
      <w:pPr>
        <w:rPr>
          <w:lang w:val="bs-Latn-BA" w:eastAsia="hr-HR"/>
        </w:rPr>
      </w:pPr>
    </w:p>
    <w:p w:rsidR="00794A49" w:rsidRPr="006C7DFA" w:rsidRDefault="00794A49" w:rsidP="00FF2C75">
      <w:pPr>
        <w:pStyle w:val="Heading1"/>
        <w:spacing w:before="0"/>
        <w:jc w:val="both"/>
        <w:rPr>
          <w:lang w:val="bs-Latn-BA"/>
        </w:rPr>
      </w:pPr>
    </w:p>
    <w:p w:rsidR="00C9352E" w:rsidRPr="006C7DFA" w:rsidRDefault="003912F2" w:rsidP="00FF2C75">
      <w:pPr>
        <w:pStyle w:val="Heading1"/>
        <w:spacing w:before="0"/>
        <w:jc w:val="both"/>
        <w:rPr>
          <w:lang w:val="bs-Latn-BA"/>
        </w:rPr>
      </w:pPr>
      <w:bookmarkStart w:id="11" w:name="_Toc528923007"/>
      <w:r w:rsidRPr="006C7DFA">
        <w:rPr>
          <w:lang w:val="bs-Latn-BA"/>
        </w:rPr>
        <w:t xml:space="preserve">Prilog: </w:t>
      </w:r>
      <w:bookmarkStart w:id="12" w:name="Alat"/>
      <w:bookmarkEnd w:id="12"/>
      <w:r w:rsidR="00C9352E" w:rsidRPr="006C7DFA">
        <w:rPr>
          <w:b w:val="0"/>
          <w:lang w:val="bs-Latn-BA"/>
        </w:rPr>
        <w:t>Operativni/Akcioni plan sa finansijskim ok</w:t>
      </w:r>
      <w:r w:rsidR="00FF57AE" w:rsidRPr="006C7DFA">
        <w:rPr>
          <w:b w:val="0"/>
          <w:lang w:val="bs-Latn-BA"/>
        </w:rPr>
        <w:t>v</w:t>
      </w:r>
      <w:r w:rsidR="00C9352E" w:rsidRPr="006C7DFA">
        <w:rPr>
          <w:b w:val="0"/>
          <w:lang w:val="bs-Latn-BA"/>
        </w:rPr>
        <w:t>irom za period 201</w:t>
      </w:r>
      <w:r w:rsidR="00CE3F06" w:rsidRPr="006C7DFA">
        <w:rPr>
          <w:b w:val="0"/>
          <w:lang w:val="bs-Latn-BA"/>
        </w:rPr>
        <w:t>9</w:t>
      </w:r>
      <w:r w:rsidR="00C9352E" w:rsidRPr="006C7DFA">
        <w:rPr>
          <w:b w:val="0"/>
          <w:lang w:val="bs-Latn-BA"/>
        </w:rPr>
        <w:t>-20</w:t>
      </w:r>
      <w:r w:rsidR="00AB2F38" w:rsidRPr="006C7DFA">
        <w:rPr>
          <w:b w:val="0"/>
          <w:lang w:val="bs-Latn-BA"/>
        </w:rPr>
        <w:t>2</w:t>
      </w:r>
      <w:r w:rsidR="00CE3F06" w:rsidRPr="006C7DFA">
        <w:rPr>
          <w:b w:val="0"/>
          <w:lang w:val="bs-Latn-BA"/>
        </w:rPr>
        <w:t>1</w:t>
      </w:r>
      <w:r w:rsidR="00C9352E" w:rsidRPr="006C7DFA">
        <w:rPr>
          <w:b w:val="0"/>
          <w:lang w:val="bs-Latn-BA"/>
        </w:rPr>
        <w:t>.godina Strategije razvoja Tuzlanskog kantona 2016-2020.godina</w:t>
      </w:r>
      <w:r w:rsidRPr="006C7DFA">
        <w:rPr>
          <w:b w:val="0"/>
          <w:lang w:val="bs-Latn-BA"/>
        </w:rPr>
        <w:t xml:space="preserve"> – tabelarni prikaz</w:t>
      </w:r>
      <w:bookmarkEnd w:id="11"/>
    </w:p>
    <w:p w:rsidR="007765D9" w:rsidRPr="006C7DFA" w:rsidRDefault="007765D9" w:rsidP="007765D9">
      <w:pPr>
        <w:rPr>
          <w:rFonts w:asciiTheme="majorHAnsi" w:hAnsiTheme="majorHAnsi"/>
          <w:b/>
          <w:bCs/>
          <w:color w:val="000000"/>
          <w:sz w:val="24"/>
          <w:szCs w:val="24"/>
          <w:lang w:val="bs-Latn-BA"/>
        </w:rPr>
      </w:pPr>
    </w:p>
    <w:sectPr w:rsidR="007765D9" w:rsidRPr="006C7DFA" w:rsidSect="00084580">
      <w:footerReference w:type="default" r:id="rId11"/>
      <w:pgSz w:w="12240" w:h="15840" w:code="1"/>
      <w:pgMar w:top="1417" w:right="1417" w:bottom="1417" w:left="1417" w:header="709" w:footer="450"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1B543" w15:done="0"/>
  <w15:commentEx w15:paraId="630955CA" w15:paraIdParent="6661B5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B7" w:rsidRDefault="00010EB7" w:rsidP="00BD66D2">
      <w:r>
        <w:separator/>
      </w:r>
    </w:p>
  </w:endnote>
  <w:endnote w:type="continuationSeparator" w:id="0">
    <w:p w:rsidR="00010EB7" w:rsidRDefault="00010EB7" w:rsidP="00BD6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976907"/>
      <w:docPartObj>
        <w:docPartGallery w:val="Page Numbers (Bottom of Page)"/>
        <w:docPartUnique/>
      </w:docPartObj>
    </w:sdtPr>
    <w:sdtEndPr>
      <w:rPr>
        <w:noProof/>
      </w:rPr>
    </w:sdtEndPr>
    <w:sdtContent>
      <w:p w:rsidR="005B5A20" w:rsidRDefault="009F0446">
        <w:pPr>
          <w:pStyle w:val="Footer"/>
          <w:jc w:val="center"/>
        </w:pPr>
        <w:r w:rsidRPr="00E50358">
          <w:rPr>
            <w:rFonts w:asciiTheme="majorHAnsi" w:hAnsiTheme="majorHAnsi"/>
            <w:sz w:val="20"/>
            <w:szCs w:val="20"/>
          </w:rPr>
          <w:fldChar w:fldCharType="begin"/>
        </w:r>
        <w:r w:rsidR="005B5A20" w:rsidRPr="00E50358">
          <w:rPr>
            <w:rFonts w:asciiTheme="majorHAnsi" w:hAnsiTheme="majorHAnsi"/>
            <w:sz w:val="20"/>
            <w:szCs w:val="20"/>
          </w:rPr>
          <w:instrText xml:space="preserve"> PAGE   \* MERGEFORMAT </w:instrText>
        </w:r>
        <w:r w:rsidRPr="00E50358">
          <w:rPr>
            <w:rFonts w:asciiTheme="majorHAnsi" w:hAnsiTheme="majorHAnsi"/>
            <w:sz w:val="20"/>
            <w:szCs w:val="20"/>
          </w:rPr>
          <w:fldChar w:fldCharType="separate"/>
        </w:r>
        <w:r w:rsidR="00B13861">
          <w:rPr>
            <w:rFonts w:asciiTheme="majorHAnsi" w:hAnsiTheme="majorHAnsi"/>
            <w:noProof/>
            <w:sz w:val="20"/>
            <w:szCs w:val="20"/>
          </w:rPr>
          <w:t>11</w:t>
        </w:r>
        <w:r w:rsidRPr="00E50358">
          <w:rPr>
            <w:rFonts w:asciiTheme="majorHAnsi" w:hAnsiTheme="majorHAnsi"/>
            <w:noProof/>
            <w:sz w:val="20"/>
            <w:szCs w:val="20"/>
          </w:rPr>
          <w:fldChar w:fldCharType="end"/>
        </w:r>
      </w:p>
    </w:sdtContent>
  </w:sdt>
  <w:p w:rsidR="005B5A20" w:rsidRDefault="005B5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B7" w:rsidRDefault="00010EB7" w:rsidP="00BD66D2">
      <w:r>
        <w:separator/>
      </w:r>
    </w:p>
  </w:footnote>
  <w:footnote w:type="continuationSeparator" w:id="0">
    <w:p w:rsidR="00010EB7" w:rsidRDefault="00010EB7" w:rsidP="00BD66D2">
      <w:r>
        <w:continuationSeparator/>
      </w:r>
    </w:p>
  </w:footnote>
  <w:footnote w:id="1">
    <w:p w:rsidR="005B5A20" w:rsidRPr="00FF2C75" w:rsidRDefault="005B5A20" w:rsidP="00FF2C75">
      <w:pPr>
        <w:rPr>
          <w:rFonts w:asciiTheme="minorHAnsi" w:hAnsiTheme="minorHAnsi"/>
        </w:rPr>
      </w:pPr>
      <w:r>
        <w:rPr>
          <w:rStyle w:val="FootnoteReference"/>
        </w:rPr>
        <w:footnoteRef/>
      </w:r>
      <w:r w:rsidRPr="00B56208">
        <w:rPr>
          <w:rFonts w:asciiTheme="majorHAnsi" w:hAnsiTheme="majorHAnsi"/>
          <w:sz w:val="16"/>
          <w:szCs w:val="16"/>
          <w:lang w:val="bs-Latn-BA"/>
        </w:rPr>
        <w:t xml:space="preserve">Strategija je  dostupna na sljedećem linku: </w:t>
      </w:r>
      <w:hyperlink r:id="rId1" w:history="1">
        <w:r w:rsidRPr="00B56208">
          <w:rPr>
            <w:rStyle w:val="Hyperlink"/>
            <w:rFonts w:asciiTheme="majorHAnsi" w:hAnsiTheme="majorHAnsi"/>
            <w:sz w:val="16"/>
            <w:szCs w:val="16"/>
          </w:rPr>
          <w:t>http://www.vladatk.kim.ba/Vlada/Novosti_2014/strategija/Strategija_razvoja_TK_za_period_2016_2020godina.pdf</w:t>
        </w:r>
      </w:hyperlink>
      <w:r w:rsidRPr="00B56208">
        <w:rPr>
          <w:rFonts w:asciiTheme="majorHAnsi" w:hAnsiTheme="majorHAnsi"/>
          <w:sz w:val="16"/>
          <w:szCs w:val="16"/>
        </w:rPr>
        <w:t xml:space="preserve"> </w:t>
      </w:r>
    </w:p>
  </w:footnote>
  <w:footnote w:id="2">
    <w:p w:rsidR="005B5A20" w:rsidRPr="00B56208" w:rsidRDefault="005B5A20" w:rsidP="00B56208">
      <w:pPr>
        <w:pStyle w:val="CommentText"/>
        <w:jc w:val="both"/>
        <w:rPr>
          <w:rFonts w:asciiTheme="majorHAnsi" w:hAnsiTheme="majorHAnsi"/>
          <w:lang w:val="it-IT"/>
        </w:rPr>
      </w:pPr>
      <w:r w:rsidRPr="00B56208">
        <w:rPr>
          <w:rStyle w:val="FootnoteReference"/>
          <w:rFonts w:asciiTheme="majorHAnsi" w:hAnsiTheme="majorHAnsi"/>
        </w:rPr>
        <w:footnoteRef/>
      </w:r>
      <w:r w:rsidRPr="00B56208">
        <w:rPr>
          <w:rFonts w:asciiTheme="majorHAnsi" w:hAnsiTheme="majorHAnsi"/>
        </w:rPr>
        <w:t xml:space="preserve"> </w:t>
      </w:r>
      <w:r w:rsidRPr="00B56208">
        <w:rPr>
          <w:rFonts w:asciiTheme="majorHAnsi" w:hAnsiTheme="majorHAnsi"/>
          <w:sz w:val="16"/>
          <w:szCs w:val="16"/>
          <w:lang w:val="it-IT"/>
        </w:rPr>
        <w:t>Donošenjem Zakona o izmjenama i dopunama Zakona o ministarstvima i drugim organima uprave, („Službene novine Tuzlanskog kantona“ broj: 15/17), Ministarstvo razvoja i poduzetništva i Ministarstvo industrije, energetike i rudarstva, su 31.12.2017. godine prestali sa radom, te su spojeni u Ministarstvo privrede Tuzlanskog kantona koje je otpočelo sa radom  01.01.2018</w:t>
      </w:r>
      <w:r>
        <w:rPr>
          <w:rFonts w:asciiTheme="majorHAnsi" w:hAnsiTheme="majorHAnsi"/>
          <w:sz w:val="16"/>
          <w:szCs w:val="16"/>
          <w:lang w:val="it-IT"/>
        </w:rPr>
        <w:t>.</w:t>
      </w:r>
      <w:r w:rsidRPr="00B56208">
        <w:rPr>
          <w:rFonts w:asciiTheme="majorHAnsi" w:hAnsiTheme="majorHAnsi"/>
          <w:sz w:val="16"/>
          <w:szCs w:val="16"/>
          <w:lang w:val="it-IT"/>
        </w:rPr>
        <w:t xml:space="preserve"> godine.</w:t>
      </w:r>
    </w:p>
    <w:p w:rsidR="005B5A20" w:rsidRPr="00B56208" w:rsidRDefault="005B5A20" w:rsidP="00B56208">
      <w:pPr>
        <w:pStyle w:val="FootnoteText"/>
        <w:jc w:val="both"/>
        <w:rPr>
          <w:rFonts w:asciiTheme="majorHAnsi" w:hAnsiTheme="majorHAnsi"/>
          <w:lang w:val="bs-Latn-B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A36"/>
    <w:multiLevelType w:val="hybridMultilevel"/>
    <w:tmpl w:val="FF727248"/>
    <w:lvl w:ilvl="0" w:tplc="ADD41D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12F85"/>
    <w:multiLevelType w:val="hybridMultilevel"/>
    <w:tmpl w:val="59B859AE"/>
    <w:lvl w:ilvl="0" w:tplc="7ABCF81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9716DF6"/>
    <w:multiLevelType w:val="multilevel"/>
    <w:tmpl w:val="B4F239F6"/>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3">
    <w:nsid w:val="0C30398E"/>
    <w:multiLevelType w:val="hybridMultilevel"/>
    <w:tmpl w:val="054A67E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nsid w:val="16544628"/>
    <w:multiLevelType w:val="multilevel"/>
    <w:tmpl w:val="475025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471B0C"/>
    <w:multiLevelType w:val="hybridMultilevel"/>
    <w:tmpl w:val="9E0A8F7A"/>
    <w:lvl w:ilvl="0" w:tplc="677C61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10E59"/>
    <w:multiLevelType w:val="hybridMultilevel"/>
    <w:tmpl w:val="18B64590"/>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7">
    <w:nsid w:val="2F116748"/>
    <w:multiLevelType w:val="hybridMultilevel"/>
    <w:tmpl w:val="054A67E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nsid w:val="31ED7E89"/>
    <w:multiLevelType w:val="hybridMultilevel"/>
    <w:tmpl w:val="673C077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1274505"/>
    <w:multiLevelType w:val="hybridMultilevel"/>
    <w:tmpl w:val="47C26EC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44467E08"/>
    <w:multiLevelType w:val="hybridMultilevel"/>
    <w:tmpl w:val="7570A5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81516B"/>
    <w:multiLevelType w:val="hybridMultilevel"/>
    <w:tmpl w:val="9416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E152592"/>
    <w:multiLevelType w:val="hybridMultilevel"/>
    <w:tmpl w:val="D5580A7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nsid w:val="5E424898"/>
    <w:multiLevelType w:val="hybridMultilevel"/>
    <w:tmpl w:val="49522DC6"/>
    <w:lvl w:ilvl="0" w:tplc="98D0D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66DFE"/>
    <w:multiLevelType w:val="hybridMultilevel"/>
    <w:tmpl w:val="054A67E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nsid w:val="6A8657DE"/>
    <w:multiLevelType w:val="hybridMultilevel"/>
    <w:tmpl w:val="6CFC84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DF175AC"/>
    <w:multiLevelType w:val="hybridMultilevel"/>
    <w:tmpl w:val="35208600"/>
    <w:lvl w:ilvl="0" w:tplc="98D0D1F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7798530C"/>
    <w:multiLevelType w:val="hybridMultilevel"/>
    <w:tmpl w:val="68DE8F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7CC60B8F"/>
    <w:multiLevelType w:val="hybridMultilevel"/>
    <w:tmpl w:val="054A67E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nsid w:val="7F996445"/>
    <w:multiLevelType w:val="hybridMultilevel"/>
    <w:tmpl w:val="054A67E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4"/>
  </w:num>
  <w:num w:numId="2">
    <w:abstractNumId w:val="7"/>
  </w:num>
  <w:num w:numId="3">
    <w:abstractNumId w:val="14"/>
  </w:num>
  <w:num w:numId="4">
    <w:abstractNumId w:val="18"/>
  </w:num>
  <w:num w:numId="5">
    <w:abstractNumId w:val="3"/>
  </w:num>
  <w:num w:numId="6">
    <w:abstractNumId w:val="19"/>
  </w:num>
  <w:num w:numId="7">
    <w:abstractNumId w:val="16"/>
  </w:num>
  <w:num w:numId="8">
    <w:abstractNumId w:val="12"/>
  </w:num>
  <w:num w:numId="9">
    <w:abstractNumId w:val="6"/>
  </w:num>
  <w:num w:numId="10">
    <w:abstractNumId w:val="2"/>
  </w:num>
  <w:num w:numId="11">
    <w:abstractNumId w:val="5"/>
  </w:num>
  <w:num w:numId="12">
    <w:abstractNumId w:val="0"/>
  </w:num>
  <w:num w:numId="13">
    <w:abstractNumId w:val="13"/>
  </w:num>
  <w:num w:numId="14">
    <w:abstractNumId w:val="8"/>
  </w:num>
  <w:num w:numId="15">
    <w:abstractNumId w:val="17"/>
  </w:num>
  <w:num w:numId="16">
    <w:abstractNumId w:val="1"/>
  </w:num>
  <w:num w:numId="17">
    <w:abstractNumId w:val="10"/>
  </w:num>
  <w:num w:numId="18">
    <w:abstractNumId w:val="15"/>
  </w:num>
  <w:num w:numId="19">
    <w:abstractNumId w:val="9"/>
  </w:num>
  <w:num w:numId="20">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w15:presenceInfo w15:providerId="None" w15:userId="Iv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74F2"/>
    <w:rsid w:val="00010EB7"/>
    <w:rsid w:val="00012668"/>
    <w:rsid w:val="00015E79"/>
    <w:rsid w:val="0001784D"/>
    <w:rsid w:val="00017F1E"/>
    <w:rsid w:val="00021AB2"/>
    <w:rsid w:val="000302B2"/>
    <w:rsid w:val="00037624"/>
    <w:rsid w:val="000507EF"/>
    <w:rsid w:val="00057684"/>
    <w:rsid w:val="00063752"/>
    <w:rsid w:val="000641BA"/>
    <w:rsid w:val="000653CC"/>
    <w:rsid w:val="00070E44"/>
    <w:rsid w:val="00074E05"/>
    <w:rsid w:val="000760C3"/>
    <w:rsid w:val="00076ECE"/>
    <w:rsid w:val="00082FF7"/>
    <w:rsid w:val="00084580"/>
    <w:rsid w:val="00097AF8"/>
    <w:rsid w:val="000A6DF7"/>
    <w:rsid w:val="000B16B5"/>
    <w:rsid w:val="000C3E23"/>
    <w:rsid w:val="000C5470"/>
    <w:rsid w:val="000C5910"/>
    <w:rsid w:val="000D504B"/>
    <w:rsid w:val="000D6478"/>
    <w:rsid w:val="000E56DB"/>
    <w:rsid w:val="000F7ECD"/>
    <w:rsid w:val="00102942"/>
    <w:rsid w:val="001031AF"/>
    <w:rsid w:val="00106A2E"/>
    <w:rsid w:val="00116693"/>
    <w:rsid w:val="001277C8"/>
    <w:rsid w:val="00131B11"/>
    <w:rsid w:val="001429B8"/>
    <w:rsid w:val="00153DE1"/>
    <w:rsid w:val="00170DAC"/>
    <w:rsid w:val="00180674"/>
    <w:rsid w:val="00182732"/>
    <w:rsid w:val="00183371"/>
    <w:rsid w:val="00186D8B"/>
    <w:rsid w:val="00191BD7"/>
    <w:rsid w:val="00194B04"/>
    <w:rsid w:val="00194B57"/>
    <w:rsid w:val="00195B63"/>
    <w:rsid w:val="001A084E"/>
    <w:rsid w:val="001A3379"/>
    <w:rsid w:val="001A6CB9"/>
    <w:rsid w:val="001B3B73"/>
    <w:rsid w:val="001B46E2"/>
    <w:rsid w:val="001C1088"/>
    <w:rsid w:val="001C110E"/>
    <w:rsid w:val="001C6F68"/>
    <w:rsid w:val="001C7759"/>
    <w:rsid w:val="001D314B"/>
    <w:rsid w:val="001F2CE1"/>
    <w:rsid w:val="001F3844"/>
    <w:rsid w:val="00202A43"/>
    <w:rsid w:val="00212757"/>
    <w:rsid w:val="00223B3A"/>
    <w:rsid w:val="00230FB9"/>
    <w:rsid w:val="002415DF"/>
    <w:rsid w:val="00246DFE"/>
    <w:rsid w:val="00263232"/>
    <w:rsid w:val="0026398F"/>
    <w:rsid w:val="00263B00"/>
    <w:rsid w:val="00265D5F"/>
    <w:rsid w:val="00266C99"/>
    <w:rsid w:val="00272BE1"/>
    <w:rsid w:val="002748EB"/>
    <w:rsid w:val="0028329E"/>
    <w:rsid w:val="00285826"/>
    <w:rsid w:val="002873BA"/>
    <w:rsid w:val="002A1CA5"/>
    <w:rsid w:val="002A3081"/>
    <w:rsid w:val="002A3E63"/>
    <w:rsid w:val="002A54D1"/>
    <w:rsid w:val="002A7BE2"/>
    <w:rsid w:val="002C24CE"/>
    <w:rsid w:val="002C4653"/>
    <w:rsid w:val="002D3756"/>
    <w:rsid w:val="002D379C"/>
    <w:rsid w:val="002D386B"/>
    <w:rsid w:val="002D79D1"/>
    <w:rsid w:val="002E57A2"/>
    <w:rsid w:val="00306AED"/>
    <w:rsid w:val="00306B13"/>
    <w:rsid w:val="0031196F"/>
    <w:rsid w:val="00312A89"/>
    <w:rsid w:val="00323BB8"/>
    <w:rsid w:val="003247E5"/>
    <w:rsid w:val="00340AB7"/>
    <w:rsid w:val="00344BE9"/>
    <w:rsid w:val="00364328"/>
    <w:rsid w:val="003650F2"/>
    <w:rsid w:val="003748BA"/>
    <w:rsid w:val="00384B02"/>
    <w:rsid w:val="00386616"/>
    <w:rsid w:val="00390AEA"/>
    <w:rsid w:val="003912F2"/>
    <w:rsid w:val="00392EF5"/>
    <w:rsid w:val="00394A0F"/>
    <w:rsid w:val="003A1BB9"/>
    <w:rsid w:val="003A3D95"/>
    <w:rsid w:val="003A762A"/>
    <w:rsid w:val="003B1C8F"/>
    <w:rsid w:val="003E2C66"/>
    <w:rsid w:val="003E325E"/>
    <w:rsid w:val="003F0A47"/>
    <w:rsid w:val="003F31F0"/>
    <w:rsid w:val="003F5BC9"/>
    <w:rsid w:val="003F6239"/>
    <w:rsid w:val="003F68FA"/>
    <w:rsid w:val="004005D8"/>
    <w:rsid w:val="00434D56"/>
    <w:rsid w:val="00447518"/>
    <w:rsid w:val="00453DFC"/>
    <w:rsid w:val="00455FCB"/>
    <w:rsid w:val="00465FC5"/>
    <w:rsid w:val="004769C3"/>
    <w:rsid w:val="004863AB"/>
    <w:rsid w:val="004874A4"/>
    <w:rsid w:val="004904FF"/>
    <w:rsid w:val="00491CE8"/>
    <w:rsid w:val="00494CF8"/>
    <w:rsid w:val="004979AE"/>
    <w:rsid w:val="00497F36"/>
    <w:rsid w:val="004A4A54"/>
    <w:rsid w:val="004A52C3"/>
    <w:rsid w:val="004A6D1B"/>
    <w:rsid w:val="004B09B7"/>
    <w:rsid w:val="004B0D67"/>
    <w:rsid w:val="004B570D"/>
    <w:rsid w:val="004B609C"/>
    <w:rsid w:val="004B7751"/>
    <w:rsid w:val="004C1612"/>
    <w:rsid w:val="004C36D5"/>
    <w:rsid w:val="004C4A8C"/>
    <w:rsid w:val="004C6389"/>
    <w:rsid w:val="004D2C04"/>
    <w:rsid w:val="004D4223"/>
    <w:rsid w:val="004E14AD"/>
    <w:rsid w:val="004E36C6"/>
    <w:rsid w:val="004E5C24"/>
    <w:rsid w:val="004E7AB2"/>
    <w:rsid w:val="004F0B52"/>
    <w:rsid w:val="004F12DF"/>
    <w:rsid w:val="004F3032"/>
    <w:rsid w:val="00502B38"/>
    <w:rsid w:val="0050377C"/>
    <w:rsid w:val="0050597B"/>
    <w:rsid w:val="005079D0"/>
    <w:rsid w:val="00517776"/>
    <w:rsid w:val="00534D02"/>
    <w:rsid w:val="00542738"/>
    <w:rsid w:val="00543A28"/>
    <w:rsid w:val="0054650A"/>
    <w:rsid w:val="005548A9"/>
    <w:rsid w:val="00562B03"/>
    <w:rsid w:val="00562C6C"/>
    <w:rsid w:val="00566B26"/>
    <w:rsid w:val="00566D65"/>
    <w:rsid w:val="00566E70"/>
    <w:rsid w:val="005717CD"/>
    <w:rsid w:val="00571D5F"/>
    <w:rsid w:val="00591668"/>
    <w:rsid w:val="00593457"/>
    <w:rsid w:val="005A38F0"/>
    <w:rsid w:val="005A3B82"/>
    <w:rsid w:val="005A47FD"/>
    <w:rsid w:val="005A620F"/>
    <w:rsid w:val="005A66D2"/>
    <w:rsid w:val="005A7F6E"/>
    <w:rsid w:val="005B17B5"/>
    <w:rsid w:val="005B5992"/>
    <w:rsid w:val="005B5A20"/>
    <w:rsid w:val="005D021B"/>
    <w:rsid w:val="005D1CC4"/>
    <w:rsid w:val="005D31DA"/>
    <w:rsid w:val="005D346E"/>
    <w:rsid w:val="005F0152"/>
    <w:rsid w:val="005F1882"/>
    <w:rsid w:val="005F6D18"/>
    <w:rsid w:val="00600EAB"/>
    <w:rsid w:val="00611F51"/>
    <w:rsid w:val="006125F2"/>
    <w:rsid w:val="00612AD8"/>
    <w:rsid w:val="00617B3E"/>
    <w:rsid w:val="0062319E"/>
    <w:rsid w:val="00643AC2"/>
    <w:rsid w:val="006603C5"/>
    <w:rsid w:val="006676C8"/>
    <w:rsid w:val="0067384D"/>
    <w:rsid w:val="00683997"/>
    <w:rsid w:val="0068409B"/>
    <w:rsid w:val="006A14A9"/>
    <w:rsid w:val="006A4ACC"/>
    <w:rsid w:val="006B42D4"/>
    <w:rsid w:val="006B790A"/>
    <w:rsid w:val="006C62A8"/>
    <w:rsid w:val="006C71F2"/>
    <w:rsid w:val="006C7DFA"/>
    <w:rsid w:val="006D0231"/>
    <w:rsid w:val="006D2D6D"/>
    <w:rsid w:val="006D69B9"/>
    <w:rsid w:val="006F0E15"/>
    <w:rsid w:val="006F7B89"/>
    <w:rsid w:val="007007EF"/>
    <w:rsid w:val="00740AE0"/>
    <w:rsid w:val="00740F4D"/>
    <w:rsid w:val="00752512"/>
    <w:rsid w:val="007562E6"/>
    <w:rsid w:val="0075712F"/>
    <w:rsid w:val="00760562"/>
    <w:rsid w:val="007638C5"/>
    <w:rsid w:val="00763CBE"/>
    <w:rsid w:val="007656AC"/>
    <w:rsid w:val="0077043C"/>
    <w:rsid w:val="00773090"/>
    <w:rsid w:val="007765D9"/>
    <w:rsid w:val="00781613"/>
    <w:rsid w:val="0078308F"/>
    <w:rsid w:val="0078520D"/>
    <w:rsid w:val="007872E1"/>
    <w:rsid w:val="00794A49"/>
    <w:rsid w:val="00795C52"/>
    <w:rsid w:val="00796E3B"/>
    <w:rsid w:val="007A36CF"/>
    <w:rsid w:val="007B2EA9"/>
    <w:rsid w:val="007B327E"/>
    <w:rsid w:val="007C564F"/>
    <w:rsid w:val="007D1F43"/>
    <w:rsid w:val="007D5E96"/>
    <w:rsid w:val="007D6BE8"/>
    <w:rsid w:val="007F747C"/>
    <w:rsid w:val="00802E9A"/>
    <w:rsid w:val="00803A51"/>
    <w:rsid w:val="00805948"/>
    <w:rsid w:val="008207B7"/>
    <w:rsid w:val="0083004E"/>
    <w:rsid w:val="00836F8B"/>
    <w:rsid w:val="0083779F"/>
    <w:rsid w:val="0085110A"/>
    <w:rsid w:val="008544E1"/>
    <w:rsid w:val="00860BFC"/>
    <w:rsid w:val="00863B00"/>
    <w:rsid w:val="00864534"/>
    <w:rsid w:val="00870A99"/>
    <w:rsid w:val="00872A58"/>
    <w:rsid w:val="0087636A"/>
    <w:rsid w:val="00893661"/>
    <w:rsid w:val="008947E7"/>
    <w:rsid w:val="008A38E5"/>
    <w:rsid w:val="008B1BC7"/>
    <w:rsid w:val="008B37AD"/>
    <w:rsid w:val="008C04CD"/>
    <w:rsid w:val="008C1DA1"/>
    <w:rsid w:val="008C27C8"/>
    <w:rsid w:val="008C6AF6"/>
    <w:rsid w:val="008D0F36"/>
    <w:rsid w:val="008D3463"/>
    <w:rsid w:val="008D3DC3"/>
    <w:rsid w:val="008D6DA4"/>
    <w:rsid w:val="008E56ED"/>
    <w:rsid w:val="008F0F10"/>
    <w:rsid w:val="009051EF"/>
    <w:rsid w:val="0092180B"/>
    <w:rsid w:val="00930E2D"/>
    <w:rsid w:val="0093147E"/>
    <w:rsid w:val="00931DE8"/>
    <w:rsid w:val="009335C1"/>
    <w:rsid w:val="00946166"/>
    <w:rsid w:val="00951C2C"/>
    <w:rsid w:val="00961C45"/>
    <w:rsid w:val="00965D3C"/>
    <w:rsid w:val="0096699B"/>
    <w:rsid w:val="009717DE"/>
    <w:rsid w:val="00974229"/>
    <w:rsid w:val="00975F85"/>
    <w:rsid w:val="0097771D"/>
    <w:rsid w:val="00984BB9"/>
    <w:rsid w:val="00986AFC"/>
    <w:rsid w:val="00987930"/>
    <w:rsid w:val="00992D24"/>
    <w:rsid w:val="009A045F"/>
    <w:rsid w:val="009A2FEB"/>
    <w:rsid w:val="009A3BEA"/>
    <w:rsid w:val="009B0E5C"/>
    <w:rsid w:val="009B5C09"/>
    <w:rsid w:val="009B7616"/>
    <w:rsid w:val="009C002A"/>
    <w:rsid w:val="009C588D"/>
    <w:rsid w:val="009D7102"/>
    <w:rsid w:val="009E6EE2"/>
    <w:rsid w:val="009E75A6"/>
    <w:rsid w:val="009F0446"/>
    <w:rsid w:val="009F4FA0"/>
    <w:rsid w:val="009F523B"/>
    <w:rsid w:val="009F7EDD"/>
    <w:rsid w:val="00A03105"/>
    <w:rsid w:val="00A03402"/>
    <w:rsid w:val="00A11282"/>
    <w:rsid w:val="00A12404"/>
    <w:rsid w:val="00A16D51"/>
    <w:rsid w:val="00A17110"/>
    <w:rsid w:val="00A47874"/>
    <w:rsid w:val="00A703FC"/>
    <w:rsid w:val="00A73699"/>
    <w:rsid w:val="00A76846"/>
    <w:rsid w:val="00A76C49"/>
    <w:rsid w:val="00A77AAB"/>
    <w:rsid w:val="00A90577"/>
    <w:rsid w:val="00A96334"/>
    <w:rsid w:val="00AA2A56"/>
    <w:rsid w:val="00AB0D94"/>
    <w:rsid w:val="00AB28B1"/>
    <w:rsid w:val="00AB2F38"/>
    <w:rsid w:val="00AB55A7"/>
    <w:rsid w:val="00AC0D27"/>
    <w:rsid w:val="00AD1604"/>
    <w:rsid w:val="00AD43F6"/>
    <w:rsid w:val="00AE7AC4"/>
    <w:rsid w:val="00AF3B46"/>
    <w:rsid w:val="00B01AF4"/>
    <w:rsid w:val="00B049D0"/>
    <w:rsid w:val="00B10D74"/>
    <w:rsid w:val="00B13861"/>
    <w:rsid w:val="00B1455A"/>
    <w:rsid w:val="00B21DEB"/>
    <w:rsid w:val="00B22991"/>
    <w:rsid w:val="00B26427"/>
    <w:rsid w:val="00B30A7A"/>
    <w:rsid w:val="00B4340B"/>
    <w:rsid w:val="00B45238"/>
    <w:rsid w:val="00B5475E"/>
    <w:rsid w:val="00B56208"/>
    <w:rsid w:val="00B5637B"/>
    <w:rsid w:val="00B578C8"/>
    <w:rsid w:val="00B62F20"/>
    <w:rsid w:val="00B747C8"/>
    <w:rsid w:val="00B824BF"/>
    <w:rsid w:val="00B83FE9"/>
    <w:rsid w:val="00B860CD"/>
    <w:rsid w:val="00B8721A"/>
    <w:rsid w:val="00B875FF"/>
    <w:rsid w:val="00B87C82"/>
    <w:rsid w:val="00B965A9"/>
    <w:rsid w:val="00B967EF"/>
    <w:rsid w:val="00B9785F"/>
    <w:rsid w:val="00BA4B83"/>
    <w:rsid w:val="00BA75EC"/>
    <w:rsid w:val="00BB216C"/>
    <w:rsid w:val="00BB30FC"/>
    <w:rsid w:val="00BC35EA"/>
    <w:rsid w:val="00BC43B6"/>
    <w:rsid w:val="00BC6097"/>
    <w:rsid w:val="00BC6370"/>
    <w:rsid w:val="00BD66D2"/>
    <w:rsid w:val="00BE3E82"/>
    <w:rsid w:val="00BE644F"/>
    <w:rsid w:val="00BF7A98"/>
    <w:rsid w:val="00C03689"/>
    <w:rsid w:val="00C04DDF"/>
    <w:rsid w:val="00C11298"/>
    <w:rsid w:val="00C12125"/>
    <w:rsid w:val="00C13001"/>
    <w:rsid w:val="00C154B2"/>
    <w:rsid w:val="00C210C1"/>
    <w:rsid w:val="00C24E28"/>
    <w:rsid w:val="00C31301"/>
    <w:rsid w:val="00C33937"/>
    <w:rsid w:val="00C4019C"/>
    <w:rsid w:val="00C41D8C"/>
    <w:rsid w:val="00C524D6"/>
    <w:rsid w:val="00C71F97"/>
    <w:rsid w:val="00C760E5"/>
    <w:rsid w:val="00C82409"/>
    <w:rsid w:val="00C9352E"/>
    <w:rsid w:val="00C97EE6"/>
    <w:rsid w:val="00CA6A3E"/>
    <w:rsid w:val="00CB5B18"/>
    <w:rsid w:val="00CB6E17"/>
    <w:rsid w:val="00CC0298"/>
    <w:rsid w:val="00CD2106"/>
    <w:rsid w:val="00CE3F06"/>
    <w:rsid w:val="00CE426F"/>
    <w:rsid w:val="00CE5141"/>
    <w:rsid w:val="00CF1381"/>
    <w:rsid w:val="00D014D2"/>
    <w:rsid w:val="00D1494C"/>
    <w:rsid w:val="00D229A8"/>
    <w:rsid w:val="00D34C3C"/>
    <w:rsid w:val="00D435A8"/>
    <w:rsid w:val="00D53343"/>
    <w:rsid w:val="00D5656C"/>
    <w:rsid w:val="00D61036"/>
    <w:rsid w:val="00D6263B"/>
    <w:rsid w:val="00D642DE"/>
    <w:rsid w:val="00D6673E"/>
    <w:rsid w:val="00D7078D"/>
    <w:rsid w:val="00D70DEE"/>
    <w:rsid w:val="00D72A17"/>
    <w:rsid w:val="00D751A7"/>
    <w:rsid w:val="00D817BD"/>
    <w:rsid w:val="00D870A7"/>
    <w:rsid w:val="00D93765"/>
    <w:rsid w:val="00DA7E31"/>
    <w:rsid w:val="00DB72C1"/>
    <w:rsid w:val="00DC2637"/>
    <w:rsid w:val="00DD6A1C"/>
    <w:rsid w:val="00DD73C3"/>
    <w:rsid w:val="00DF1B8B"/>
    <w:rsid w:val="00DF27E8"/>
    <w:rsid w:val="00E154D7"/>
    <w:rsid w:val="00E25751"/>
    <w:rsid w:val="00E2580A"/>
    <w:rsid w:val="00E337B0"/>
    <w:rsid w:val="00E47A56"/>
    <w:rsid w:val="00E50358"/>
    <w:rsid w:val="00E51F0F"/>
    <w:rsid w:val="00E54F3A"/>
    <w:rsid w:val="00E736D0"/>
    <w:rsid w:val="00E82F65"/>
    <w:rsid w:val="00E84875"/>
    <w:rsid w:val="00E94C9C"/>
    <w:rsid w:val="00EA1048"/>
    <w:rsid w:val="00EA525E"/>
    <w:rsid w:val="00EB4680"/>
    <w:rsid w:val="00EC13B6"/>
    <w:rsid w:val="00ED05AE"/>
    <w:rsid w:val="00ED41D1"/>
    <w:rsid w:val="00EE396B"/>
    <w:rsid w:val="00EE477A"/>
    <w:rsid w:val="00EF2CFF"/>
    <w:rsid w:val="00EF6E9F"/>
    <w:rsid w:val="00F01A5B"/>
    <w:rsid w:val="00F01D2A"/>
    <w:rsid w:val="00F1424F"/>
    <w:rsid w:val="00F26447"/>
    <w:rsid w:val="00F45F73"/>
    <w:rsid w:val="00F461D0"/>
    <w:rsid w:val="00F539F0"/>
    <w:rsid w:val="00F6161E"/>
    <w:rsid w:val="00F66D1E"/>
    <w:rsid w:val="00F711EB"/>
    <w:rsid w:val="00F736AF"/>
    <w:rsid w:val="00F82417"/>
    <w:rsid w:val="00F906B6"/>
    <w:rsid w:val="00F9573D"/>
    <w:rsid w:val="00F96836"/>
    <w:rsid w:val="00FA1EE5"/>
    <w:rsid w:val="00FA2FF3"/>
    <w:rsid w:val="00FA5B85"/>
    <w:rsid w:val="00FA74F2"/>
    <w:rsid w:val="00FB0156"/>
    <w:rsid w:val="00FB7D90"/>
    <w:rsid w:val="00FC212E"/>
    <w:rsid w:val="00FC343C"/>
    <w:rsid w:val="00FC6AAF"/>
    <w:rsid w:val="00FD554F"/>
    <w:rsid w:val="00FD576C"/>
    <w:rsid w:val="00FD5F95"/>
    <w:rsid w:val="00FD7779"/>
    <w:rsid w:val="00FE74BE"/>
    <w:rsid w:val="00FF280C"/>
    <w:rsid w:val="00FF2C75"/>
    <w:rsid w:val="00FF5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F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B2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74F2"/>
    <w:pPr>
      <w:keepNext/>
      <w:keepLines/>
      <w:numPr>
        <w:ilvl w:val="2"/>
        <w:numId w:val="1"/>
      </w:numPr>
      <w:outlineLvl w:val="2"/>
    </w:pPr>
    <w:rPr>
      <w:rFonts w:asciiTheme="majorHAnsi" w:eastAsiaTheme="majorEastAsia" w:hAnsiTheme="majorHAnsi" w:cstheme="majorBidi"/>
      <w:b/>
      <w:color w:val="243F60"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4F2"/>
    <w:rPr>
      <w:rFonts w:asciiTheme="majorHAnsi" w:eastAsiaTheme="majorEastAsia" w:hAnsiTheme="majorHAnsi" w:cstheme="majorBidi"/>
      <w:b/>
      <w:color w:val="243F60" w:themeColor="accent1" w:themeShade="7F"/>
      <w:sz w:val="24"/>
      <w:szCs w:val="24"/>
      <w:lang w:val="hr-HR"/>
    </w:rPr>
  </w:style>
  <w:style w:type="character" w:customStyle="1" w:styleId="Heading2Char">
    <w:name w:val="Heading 2 Char"/>
    <w:basedOn w:val="DefaultParagraphFont"/>
    <w:link w:val="Heading2"/>
    <w:uiPriority w:val="9"/>
    <w:rsid w:val="00FA74F2"/>
    <w:rPr>
      <w:rFonts w:asciiTheme="majorHAnsi" w:eastAsiaTheme="majorEastAsia" w:hAnsiTheme="majorHAnsi" w:cstheme="majorBidi"/>
      <w:b/>
      <w:bCs/>
      <w:color w:val="4F81BD" w:themeColor="accent1"/>
      <w:sz w:val="26"/>
      <w:szCs w:val="26"/>
    </w:rPr>
  </w:style>
  <w:style w:type="character" w:customStyle="1" w:styleId="BodyText2Char">
    <w:name w:val="Body Text 2 Char"/>
    <w:basedOn w:val="DefaultParagraphFont"/>
    <w:link w:val="BodyText2"/>
    <w:rsid w:val="00591668"/>
    <w:rPr>
      <w:rFonts w:ascii="Helvetica" w:eastAsia="Times New Roman" w:hAnsi="Helvetica" w:cs="Arial"/>
      <w:color w:val="000000"/>
      <w:sz w:val="24"/>
      <w:szCs w:val="24"/>
      <w:lang w:eastAsia="hr-HR"/>
    </w:rPr>
  </w:style>
  <w:style w:type="paragraph" w:styleId="BodyText2">
    <w:name w:val="Body Text 2"/>
    <w:basedOn w:val="Normal"/>
    <w:link w:val="BodyText2Char"/>
    <w:unhideWhenUsed/>
    <w:rsid w:val="00591668"/>
    <w:pPr>
      <w:jc w:val="both"/>
    </w:pPr>
    <w:rPr>
      <w:rFonts w:ascii="Helvetica" w:eastAsia="Times New Roman" w:hAnsi="Helvetica" w:cs="Arial"/>
      <w:color w:val="000000"/>
      <w:sz w:val="24"/>
      <w:szCs w:val="24"/>
      <w:lang w:eastAsia="hr-HR"/>
    </w:rPr>
  </w:style>
  <w:style w:type="character" w:customStyle="1" w:styleId="BodyText2Char1">
    <w:name w:val="Body Text 2 Char1"/>
    <w:basedOn w:val="DefaultParagraphFont"/>
    <w:uiPriority w:val="99"/>
    <w:semiHidden/>
    <w:rsid w:val="00591668"/>
    <w:rPr>
      <w:rFonts w:ascii="Calibri" w:eastAsia="Calibri" w:hAnsi="Calibri" w:cs="Times New Roman"/>
    </w:rPr>
  </w:style>
  <w:style w:type="paragraph" w:styleId="BalloonText">
    <w:name w:val="Balloon Text"/>
    <w:basedOn w:val="Normal"/>
    <w:link w:val="BalloonTextChar"/>
    <w:uiPriority w:val="99"/>
    <w:semiHidden/>
    <w:unhideWhenUsed/>
    <w:rsid w:val="00591668"/>
    <w:rPr>
      <w:rFonts w:ascii="Tahoma" w:hAnsi="Tahoma" w:cs="Tahoma"/>
      <w:sz w:val="16"/>
      <w:szCs w:val="16"/>
    </w:rPr>
  </w:style>
  <w:style w:type="character" w:customStyle="1" w:styleId="BalloonTextChar">
    <w:name w:val="Balloon Text Char"/>
    <w:basedOn w:val="DefaultParagraphFont"/>
    <w:link w:val="BalloonText"/>
    <w:uiPriority w:val="99"/>
    <w:semiHidden/>
    <w:rsid w:val="00591668"/>
    <w:rPr>
      <w:rFonts w:ascii="Tahoma" w:eastAsia="Calibri" w:hAnsi="Tahoma" w:cs="Tahoma"/>
      <w:sz w:val="16"/>
      <w:szCs w:val="16"/>
    </w:rPr>
  </w:style>
  <w:style w:type="paragraph" w:styleId="Caption">
    <w:name w:val="caption"/>
    <w:basedOn w:val="Normal"/>
    <w:next w:val="Normal"/>
    <w:uiPriority w:val="35"/>
    <w:unhideWhenUsed/>
    <w:qFormat/>
    <w:rsid w:val="00591668"/>
    <w:pPr>
      <w:spacing w:after="200" w:line="276" w:lineRule="auto"/>
    </w:pPr>
    <w:rPr>
      <w:rFonts w:eastAsia="Times New Roman" w:cs="Calibri"/>
      <w:b/>
      <w:bCs/>
      <w:color w:val="365F91"/>
      <w:sz w:val="16"/>
      <w:szCs w:val="16"/>
      <w:lang w:val="hr-HR" w:eastAsia="hr-HR"/>
    </w:rPr>
  </w:style>
  <w:style w:type="paragraph" w:customStyle="1" w:styleId="Default">
    <w:name w:val="Default"/>
    <w:rsid w:val="00591668"/>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Strong">
    <w:name w:val="Strong"/>
    <w:basedOn w:val="DefaultParagraphFont"/>
    <w:uiPriority w:val="22"/>
    <w:qFormat/>
    <w:rsid w:val="00591668"/>
    <w:rPr>
      <w:b/>
      <w:bCs/>
    </w:rPr>
  </w:style>
  <w:style w:type="paragraph" w:styleId="Header">
    <w:name w:val="header"/>
    <w:basedOn w:val="Normal"/>
    <w:link w:val="HeaderChar"/>
    <w:uiPriority w:val="99"/>
    <w:unhideWhenUsed/>
    <w:rsid w:val="00591668"/>
    <w:pPr>
      <w:tabs>
        <w:tab w:val="center" w:pos="4536"/>
        <w:tab w:val="right" w:pos="9072"/>
      </w:tabs>
    </w:pPr>
    <w:rPr>
      <w:rFonts w:asciiTheme="minorHAnsi" w:eastAsiaTheme="minorHAnsi" w:hAnsiTheme="minorHAnsi" w:cstheme="minorBidi"/>
      <w:lang w:val="hr-HR"/>
    </w:rPr>
  </w:style>
  <w:style w:type="character" w:customStyle="1" w:styleId="HeaderChar">
    <w:name w:val="Header Char"/>
    <w:basedOn w:val="DefaultParagraphFont"/>
    <w:link w:val="Header"/>
    <w:uiPriority w:val="99"/>
    <w:rsid w:val="00591668"/>
    <w:rPr>
      <w:lang w:val="hr-HR"/>
    </w:rPr>
  </w:style>
  <w:style w:type="paragraph" w:styleId="Footer">
    <w:name w:val="footer"/>
    <w:basedOn w:val="Normal"/>
    <w:link w:val="FooterChar"/>
    <w:uiPriority w:val="99"/>
    <w:unhideWhenUsed/>
    <w:rsid w:val="00591668"/>
    <w:pPr>
      <w:tabs>
        <w:tab w:val="center" w:pos="4536"/>
        <w:tab w:val="right" w:pos="9072"/>
      </w:tabs>
    </w:pPr>
    <w:rPr>
      <w:rFonts w:asciiTheme="minorHAnsi" w:eastAsiaTheme="minorHAnsi" w:hAnsiTheme="minorHAnsi" w:cstheme="minorBidi"/>
      <w:lang w:val="hr-HR"/>
    </w:rPr>
  </w:style>
  <w:style w:type="character" w:customStyle="1" w:styleId="FooterChar">
    <w:name w:val="Footer Char"/>
    <w:basedOn w:val="DefaultParagraphFont"/>
    <w:link w:val="Footer"/>
    <w:uiPriority w:val="99"/>
    <w:rsid w:val="00591668"/>
    <w:rPr>
      <w:lang w:val="hr-HR"/>
    </w:rPr>
  </w:style>
  <w:style w:type="paragraph" w:styleId="NormalWeb">
    <w:name w:val="Normal (Web)"/>
    <w:basedOn w:val="Normal"/>
    <w:uiPriority w:val="99"/>
    <w:rsid w:val="00591668"/>
    <w:pPr>
      <w:spacing w:before="100" w:beforeAutospacing="1" w:after="100" w:afterAutospacing="1"/>
    </w:pPr>
    <w:rPr>
      <w:rFonts w:ascii="Times New Roman" w:eastAsia="Times New Roman" w:hAnsi="Times New Roman"/>
      <w:color w:val="000000"/>
      <w:sz w:val="24"/>
      <w:szCs w:val="24"/>
    </w:rPr>
  </w:style>
  <w:style w:type="paragraph" w:styleId="ListParagraph">
    <w:name w:val="List Paragraph"/>
    <w:basedOn w:val="Normal"/>
    <w:link w:val="ListParagraphChar"/>
    <w:qFormat/>
    <w:rsid w:val="00591668"/>
    <w:pPr>
      <w:spacing w:after="200" w:line="276" w:lineRule="auto"/>
      <w:ind w:left="720"/>
      <w:contextualSpacing/>
    </w:pPr>
    <w:rPr>
      <w:rFonts w:asciiTheme="minorHAnsi" w:eastAsiaTheme="minorHAnsi" w:hAnsiTheme="minorHAnsi" w:cstheme="minorBidi"/>
      <w:lang w:val="hr-HR"/>
    </w:rPr>
  </w:style>
  <w:style w:type="paragraph" w:styleId="BodyText">
    <w:name w:val="Body Text"/>
    <w:basedOn w:val="Normal"/>
    <w:link w:val="BodyTextChar"/>
    <w:uiPriority w:val="99"/>
    <w:semiHidden/>
    <w:unhideWhenUsed/>
    <w:rsid w:val="00591668"/>
    <w:pPr>
      <w:spacing w:before="240" w:after="120"/>
      <w:jc w:val="both"/>
    </w:pPr>
  </w:style>
  <w:style w:type="character" w:customStyle="1" w:styleId="BodyTextChar">
    <w:name w:val="Body Text Char"/>
    <w:basedOn w:val="DefaultParagraphFont"/>
    <w:link w:val="BodyText"/>
    <w:uiPriority w:val="99"/>
    <w:semiHidden/>
    <w:rsid w:val="00591668"/>
    <w:rPr>
      <w:rFonts w:ascii="Calibri" w:eastAsia="Calibri" w:hAnsi="Calibri" w:cs="Times New Roman"/>
    </w:rPr>
  </w:style>
  <w:style w:type="character" w:customStyle="1" w:styleId="apple-converted-space">
    <w:name w:val="apple-converted-space"/>
    <w:basedOn w:val="DefaultParagraphFont"/>
    <w:rsid w:val="00591668"/>
  </w:style>
  <w:style w:type="character" w:styleId="Hyperlink">
    <w:name w:val="Hyperlink"/>
    <w:basedOn w:val="DefaultParagraphFont"/>
    <w:uiPriority w:val="99"/>
    <w:unhideWhenUsed/>
    <w:rsid w:val="00A12404"/>
    <w:rPr>
      <w:color w:val="0000FF"/>
      <w:u w:val="single"/>
    </w:rPr>
  </w:style>
  <w:style w:type="character" w:customStyle="1" w:styleId="ListParagraphChar">
    <w:name w:val="List Paragraph Char"/>
    <w:link w:val="ListParagraph"/>
    <w:rsid w:val="00A12404"/>
    <w:rPr>
      <w:lang w:val="hr-HR"/>
    </w:rPr>
  </w:style>
  <w:style w:type="paragraph" w:customStyle="1" w:styleId="GridTable31">
    <w:name w:val="Grid Table 31"/>
    <w:basedOn w:val="Heading1"/>
    <w:next w:val="Normal"/>
    <w:uiPriority w:val="39"/>
    <w:semiHidden/>
    <w:unhideWhenUsed/>
    <w:qFormat/>
    <w:rsid w:val="00AB2F38"/>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4904FF"/>
    <w:pPr>
      <w:tabs>
        <w:tab w:val="right" w:leader="dot" w:pos="9498"/>
      </w:tabs>
      <w:ind w:left="426" w:hanging="426"/>
      <w:jc w:val="both"/>
    </w:pPr>
    <w:rPr>
      <w:b/>
      <w:noProof/>
      <w:lang w:val="hr-HR"/>
    </w:rPr>
  </w:style>
  <w:style w:type="character" w:customStyle="1" w:styleId="Heading1Char">
    <w:name w:val="Heading 1 Char"/>
    <w:basedOn w:val="DefaultParagraphFont"/>
    <w:link w:val="Heading1"/>
    <w:uiPriority w:val="9"/>
    <w:rsid w:val="00AB2F3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D314B"/>
    <w:rPr>
      <w:color w:val="800080" w:themeColor="followedHyperlink"/>
      <w:u w:val="single"/>
    </w:rPr>
  </w:style>
  <w:style w:type="paragraph" w:styleId="Revision">
    <w:name w:val="Revision"/>
    <w:hidden/>
    <w:uiPriority w:val="99"/>
    <w:semiHidden/>
    <w:rsid w:val="0026323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3232"/>
    <w:rPr>
      <w:sz w:val="16"/>
      <w:szCs w:val="16"/>
    </w:rPr>
  </w:style>
  <w:style w:type="paragraph" w:styleId="CommentText">
    <w:name w:val="annotation text"/>
    <w:basedOn w:val="Normal"/>
    <w:link w:val="CommentTextChar"/>
    <w:uiPriority w:val="99"/>
    <w:semiHidden/>
    <w:unhideWhenUsed/>
    <w:rsid w:val="00263232"/>
    <w:rPr>
      <w:sz w:val="20"/>
      <w:szCs w:val="20"/>
    </w:rPr>
  </w:style>
  <w:style w:type="character" w:customStyle="1" w:styleId="CommentTextChar">
    <w:name w:val="Comment Text Char"/>
    <w:basedOn w:val="DefaultParagraphFont"/>
    <w:link w:val="CommentText"/>
    <w:uiPriority w:val="99"/>
    <w:semiHidden/>
    <w:rsid w:val="002632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232"/>
    <w:rPr>
      <w:b/>
      <w:bCs/>
    </w:rPr>
  </w:style>
  <w:style w:type="character" w:customStyle="1" w:styleId="CommentSubjectChar">
    <w:name w:val="Comment Subject Char"/>
    <w:basedOn w:val="CommentTextChar"/>
    <w:link w:val="CommentSubject"/>
    <w:uiPriority w:val="99"/>
    <w:semiHidden/>
    <w:rsid w:val="00263232"/>
    <w:rPr>
      <w:rFonts w:ascii="Calibri" w:eastAsia="Calibri" w:hAnsi="Calibri" w:cs="Times New Roman"/>
      <w:b/>
      <w:bCs/>
      <w:sz w:val="20"/>
      <w:szCs w:val="20"/>
    </w:rPr>
  </w:style>
  <w:style w:type="table" w:styleId="TableGrid">
    <w:name w:val="Table Grid"/>
    <w:basedOn w:val="TableNormal"/>
    <w:uiPriority w:val="59"/>
    <w:rsid w:val="001C1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C110E"/>
    <w:rPr>
      <w:sz w:val="20"/>
      <w:szCs w:val="20"/>
    </w:rPr>
  </w:style>
  <w:style w:type="character" w:customStyle="1" w:styleId="FootnoteTextChar">
    <w:name w:val="Footnote Text Char"/>
    <w:basedOn w:val="DefaultParagraphFont"/>
    <w:link w:val="FootnoteText"/>
    <w:uiPriority w:val="99"/>
    <w:semiHidden/>
    <w:rsid w:val="001C110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C110E"/>
    <w:rPr>
      <w:vertAlign w:val="superscript"/>
    </w:rPr>
  </w:style>
  <w:style w:type="table" w:customStyle="1" w:styleId="MediumShading1-Accent11">
    <w:name w:val="Medium Shading 1 - Accent 11"/>
    <w:basedOn w:val="TableNormal"/>
    <w:uiPriority w:val="63"/>
    <w:rsid w:val="003748BA"/>
    <w:pPr>
      <w:spacing w:after="0" w:line="240" w:lineRule="auto"/>
    </w:pPr>
    <w:rPr>
      <w:lang w:val="hr-B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E503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50358"/>
    <w:rPr>
      <w:rFonts w:eastAsiaTheme="minorEastAsia"/>
      <w:lang w:eastAsia="ja-JP"/>
    </w:rPr>
  </w:style>
  <w:style w:type="table" w:styleId="LightShading-Accent1">
    <w:name w:val="Light Shading Accent 1"/>
    <w:basedOn w:val="TableNormal"/>
    <w:uiPriority w:val="60"/>
    <w:rsid w:val="004E36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ormal"/>
    <w:autoRedefine/>
    <w:uiPriority w:val="39"/>
    <w:unhideWhenUsed/>
    <w:rsid w:val="00084580"/>
    <w:pPr>
      <w:tabs>
        <w:tab w:val="left" w:pos="851"/>
        <w:tab w:val="right" w:leader="dot" w:pos="9498"/>
      </w:tabs>
      <w:spacing w:after="100"/>
      <w:ind w:left="851" w:hanging="851"/>
    </w:pPr>
  </w:style>
  <w:style w:type="paragraph" w:styleId="TOCHeading">
    <w:name w:val="TOC Heading"/>
    <w:basedOn w:val="Heading1"/>
    <w:next w:val="Normal"/>
    <w:uiPriority w:val="39"/>
    <w:semiHidden/>
    <w:unhideWhenUsed/>
    <w:qFormat/>
    <w:rsid w:val="00084580"/>
    <w:pPr>
      <w:spacing w:line="276" w:lineRule="auto"/>
      <w:outlineLvl w:val="9"/>
    </w:pPr>
    <w:rPr>
      <w:lang w:eastAsia="ja-JP"/>
    </w:rPr>
  </w:style>
  <w:style w:type="paragraph" w:styleId="TableofFigures">
    <w:name w:val="table of figures"/>
    <w:basedOn w:val="Normal"/>
    <w:next w:val="Normal"/>
    <w:uiPriority w:val="99"/>
    <w:unhideWhenUsed/>
    <w:rsid w:val="00490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F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B2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74F2"/>
    <w:pPr>
      <w:keepNext/>
      <w:keepLines/>
      <w:numPr>
        <w:ilvl w:val="2"/>
        <w:numId w:val="1"/>
      </w:numPr>
      <w:outlineLvl w:val="2"/>
    </w:pPr>
    <w:rPr>
      <w:rFonts w:asciiTheme="majorHAnsi" w:eastAsiaTheme="majorEastAsia" w:hAnsiTheme="majorHAnsi" w:cstheme="majorBidi"/>
      <w:b/>
      <w:color w:val="243F60"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4F2"/>
    <w:rPr>
      <w:rFonts w:asciiTheme="majorHAnsi" w:eastAsiaTheme="majorEastAsia" w:hAnsiTheme="majorHAnsi" w:cstheme="majorBidi"/>
      <w:b/>
      <w:color w:val="243F60" w:themeColor="accent1" w:themeShade="7F"/>
      <w:sz w:val="24"/>
      <w:szCs w:val="24"/>
      <w:lang w:val="hr-HR"/>
    </w:rPr>
  </w:style>
  <w:style w:type="character" w:customStyle="1" w:styleId="Heading2Char">
    <w:name w:val="Heading 2 Char"/>
    <w:basedOn w:val="DefaultParagraphFont"/>
    <w:link w:val="Heading2"/>
    <w:uiPriority w:val="9"/>
    <w:rsid w:val="00FA74F2"/>
    <w:rPr>
      <w:rFonts w:asciiTheme="majorHAnsi" w:eastAsiaTheme="majorEastAsia" w:hAnsiTheme="majorHAnsi" w:cstheme="majorBidi"/>
      <w:b/>
      <w:bCs/>
      <w:color w:val="4F81BD" w:themeColor="accent1"/>
      <w:sz w:val="26"/>
      <w:szCs w:val="26"/>
    </w:rPr>
  </w:style>
  <w:style w:type="character" w:customStyle="1" w:styleId="BodyText2Char">
    <w:name w:val="Body Text 2 Char"/>
    <w:basedOn w:val="DefaultParagraphFont"/>
    <w:link w:val="BodyText2"/>
    <w:rsid w:val="00591668"/>
    <w:rPr>
      <w:rFonts w:ascii="Helvetica" w:eastAsia="Times New Roman" w:hAnsi="Helvetica" w:cs="Arial"/>
      <w:color w:val="000000"/>
      <w:sz w:val="24"/>
      <w:szCs w:val="24"/>
      <w:lang w:eastAsia="hr-HR"/>
    </w:rPr>
  </w:style>
  <w:style w:type="paragraph" w:styleId="BodyText2">
    <w:name w:val="Body Text 2"/>
    <w:basedOn w:val="Normal"/>
    <w:link w:val="BodyText2Char"/>
    <w:unhideWhenUsed/>
    <w:rsid w:val="00591668"/>
    <w:pPr>
      <w:jc w:val="both"/>
    </w:pPr>
    <w:rPr>
      <w:rFonts w:ascii="Helvetica" w:eastAsia="Times New Roman" w:hAnsi="Helvetica" w:cs="Arial"/>
      <w:color w:val="000000"/>
      <w:sz w:val="24"/>
      <w:szCs w:val="24"/>
      <w:lang w:eastAsia="hr-HR"/>
    </w:rPr>
  </w:style>
  <w:style w:type="character" w:customStyle="1" w:styleId="BodyText2Char1">
    <w:name w:val="Body Text 2 Char1"/>
    <w:basedOn w:val="DefaultParagraphFont"/>
    <w:uiPriority w:val="99"/>
    <w:semiHidden/>
    <w:rsid w:val="00591668"/>
    <w:rPr>
      <w:rFonts w:ascii="Calibri" w:eastAsia="Calibri" w:hAnsi="Calibri" w:cs="Times New Roman"/>
    </w:rPr>
  </w:style>
  <w:style w:type="paragraph" w:styleId="BalloonText">
    <w:name w:val="Balloon Text"/>
    <w:basedOn w:val="Normal"/>
    <w:link w:val="BalloonTextChar"/>
    <w:uiPriority w:val="99"/>
    <w:semiHidden/>
    <w:unhideWhenUsed/>
    <w:rsid w:val="00591668"/>
    <w:rPr>
      <w:rFonts w:ascii="Tahoma" w:hAnsi="Tahoma" w:cs="Tahoma"/>
      <w:sz w:val="16"/>
      <w:szCs w:val="16"/>
    </w:rPr>
  </w:style>
  <w:style w:type="character" w:customStyle="1" w:styleId="BalloonTextChar">
    <w:name w:val="Balloon Text Char"/>
    <w:basedOn w:val="DefaultParagraphFont"/>
    <w:link w:val="BalloonText"/>
    <w:uiPriority w:val="99"/>
    <w:semiHidden/>
    <w:rsid w:val="00591668"/>
    <w:rPr>
      <w:rFonts w:ascii="Tahoma" w:eastAsia="Calibri" w:hAnsi="Tahoma" w:cs="Tahoma"/>
      <w:sz w:val="16"/>
      <w:szCs w:val="16"/>
    </w:rPr>
  </w:style>
  <w:style w:type="paragraph" w:styleId="Caption">
    <w:name w:val="caption"/>
    <w:basedOn w:val="Normal"/>
    <w:next w:val="Normal"/>
    <w:uiPriority w:val="35"/>
    <w:unhideWhenUsed/>
    <w:qFormat/>
    <w:rsid w:val="00591668"/>
    <w:pPr>
      <w:spacing w:after="200" w:line="276" w:lineRule="auto"/>
    </w:pPr>
    <w:rPr>
      <w:rFonts w:eastAsia="Times New Roman" w:cs="Calibri"/>
      <w:b/>
      <w:bCs/>
      <w:color w:val="365F91"/>
      <w:sz w:val="16"/>
      <w:szCs w:val="16"/>
      <w:lang w:val="hr-HR" w:eastAsia="hr-HR"/>
    </w:rPr>
  </w:style>
  <w:style w:type="paragraph" w:customStyle="1" w:styleId="Default">
    <w:name w:val="Default"/>
    <w:rsid w:val="00591668"/>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Strong">
    <w:name w:val="Strong"/>
    <w:basedOn w:val="DefaultParagraphFont"/>
    <w:uiPriority w:val="22"/>
    <w:qFormat/>
    <w:rsid w:val="00591668"/>
    <w:rPr>
      <w:b/>
      <w:bCs/>
    </w:rPr>
  </w:style>
  <w:style w:type="paragraph" w:styleId="Header">
    <w:name w:val="header"/>
    <w:basedOn w:val="Normal"/>
    <w:link w:val="HeaderChar"/>
    <w:uiPriority w:val="99"/>
    <w:unhideWhenUsed/>
    <w:rsid w:val="00591668"/>
    <w:pPr>
      <w:tabs>
        <w:tab w:val="center" w:pos="4536"/>
        <w:tab w:val="right" w:pos="9072"/>
      </w:tabs>
    </w:pPr>
    <w:rPr>
      <w:rFonts w:asciiTheme="minorHAnsi" w:eastAsiaTheme="minorHAnsi" w:hAnsiTheme="minorHAnsi" w:cstheme="minorBidi"/>
      <w:lang w:val="hr-HR"/>
    </w:rPr>
  </w:style>
  <w:style w:type="character" w:customStyle="1" w:styleId="HeaderChar">
    <w:name w:val="Header Char"/>
    <w:basedOn w:val="DefaultParagraphFont"/>
    <w:link w:val="Header"/>
    <w:uiPriority w:val="99"/>
    <w:rsid w:val="00591668"/>
    <w:rPr>
      <w:lang w:val="hr-HR"/>
    </w:rPr>
  </w:style>
  <w:style w:type="paragraph" w:styleId="Footer">
    <w:name w:val="footer"/>
    <w:basedOn w:val="Normal"/>
    <w:link w:val="FooterChar"/>
    <w:uiPriority w:val="99"/>
    <w:unhideWhenUsed/>
    <w:rsid w:val="00591668"/>
    <w:pPr>
      <w:tabs>
        <w:tab w:val="center" w:pos="4536"/>
        <w:tab w:val="right" w:pos="9072"/>
      </w:tabs>
    </w:pPr>
    <w:rPr>
      <w:rFonts w:asciiTheme="minorHAnsi" w:eastAsiaTheme="minorHAnsi" w:hAnsiTheme="minorHAnsi" w:cstheme="minorBidi"/>
      <w:lang w:val="hr-HR"/>
    </w:rPr>
  </w:style>
  <w:style w:type="character" w:customStyle="1" w:styleId="FooterChar">
    <w:name w:val="Footer Char"/>
    <w:basedOn w:val="DefaultParagraphFont"/>
    <w:link w:val="Footer"/>
    <w:uiPriority w:val="99"/>
    <w:rsid w:val="00591668"/>
    <w:rPr>
      <w:lang w:val="hr-HR"/>
    </w:rPr>
  </w:style>
  <w:style w:type="paragraph" w:styleId="NormalWeb">
    <w:name w:val="Normal (Web)"/>
    <w:basedOn w:val="Normal"/>
    <w:uiPriority w:val="99"/>
    <w:rsid w:val="00591668"/>
    <w:pPr>
      <w:spacing w:before="100" w:beforeAutospacing="1" w:after="100" w:afterAutospacing="1"/>
    </w:pPr>
    <w:rPr>
      <w:rFonts w:ascii="Times New Roman" w:eastAsia="Times New Roman" w:hAnsi="Times New Roman"/>
      <w:color w:val="000000"/>
      <w:sz w:val="24"/>
      <w:szCs w:val="24"/>
    </w:rPr>
  </w:style>
  <w:style w:type="paragraph" w:styleId="ListParagraph">
    <w:name w:val="List Paragraph"/>
    <w:basedOn w:val="Normal"/>
    <w:link w:val="ListParagraphChar"/>
    <w:qFormat/>
    <w:rsid w:val="00591668"/>
    <w:pPr>
      <w:spacing w:after="200" w:line="276" w:lineRule="auto"/>
      <w:ind w:left="720"/>
      <w:contextualSpacing/>
    </w:pPr>
    <w:rPr>
      <w:rFonts w:asciiTheme="minorHAnsi" w:eastAsiaTheme="minorHAnsi" w:hAnsiTheme="minorHAnsi" w:cstheme="minorBidi"/>
      <w:lang w:val="hr-HR"/>
    </w:rPr>
  </w:style>
  <w:style w:type="paragraph" w:styleId="BodyText">
    <w:name w:val="Body Text"/>
    <w:basedOn w:val="Normal"/>
    <w:link w:val="BodyTextChar"/>
    <w:uiPriority w:val="99"/>
    <w:semiHidden/>
    <w:unhideWhenUsed/>
    <w:rsid w:val="00591668"/>
    <w:pPr>
      <w:spacing w:before="240" w:after="120"/>
      <w:jc w:val="both"/>
    </w:pPr>
  </w:style>
  <w:style w:type="character" w:customStyle="1" w:styleId="BodyTextChar">
    <w:name w:val="Body Text Char"/>
    <w:basedOn w:val="DefaultParagraphFont"/>
    <w:link w:val="BodyText"/>
    <w:uiPriority w:val="99"/>
    <w:semiHidden/>
    <w:rsid w:val="00591668"/>
    <w:rPr>
      <w:rFonts w:ascii="Calibri" w:eastAsia="Calibri" w:hAnsi="Calibri" w:cs="Times New Roman"/>
    </w:rPr>
  </w:style>
  <w:style w:type="character" w:customStyle="1" w:styleId="apple-converted-space">
    <w:name w:val="apple-converted-space"/>
    <w:basedOn w:val="DefaultParagraphFont"/>
    <w:rsid w:val="00591668"/>
  </w:style>
  <w:style w:type="character" w:styleId="Hyperlink">
    <w:name w:val="Hyperlink"/>
    <w:basedOn w:val="DefaultParagraphFont"/>
    <w:uiPriority w:val="99"/>
    <w:unhideWhenUsed/>
    <w:rsid w:val="00A12404"/>
    <w:rPr>
      <w:color w:val="0000FF"/>
      <w:u w:val="single"/>
    </w:rPr>
  </w:style>
  <w:style w:type="character" w:customStyle="1" w:styleId="ListParagraphChar">
    <w:name w:val="List Paragraph Char"/>
    <w:link w:val="ListParagraph"/>
    <w:rsid w:val="00A12404"/>
    <w:rPr>
      <w:lang w:val="hr-HR"/>
    </w:rPr>
  </w:style>
  <w:style w:type="paragraph" w:customStyle="1" w:styleId="GridTable31">
    <w:name w:val="Grid Table 31"/>
    <w:basedOn w:val="Heading1"/>
    <w:next w:val="Normal"/>
    <w:uiPriority w:val="39"/>
    <w:semiHidden/>
    <w:unhideWhenUsed/>
    <w:qFormat/>
    <w:rsid w:val="00AB2F38"/>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4904FF"/>
    <w:pPr>
      <w:tabs>
        <w:tab w:val="right" w:leader="dot" w:pos="9498"/>
      </w:tabs>
      <w:ind w:left="426" w:hanging="426"/>
      <w:jc w:val="both"/>
    </w:pPr>
    <w:rPr>
      <w:b/>
      <w:noProof/>
      <w:lang w:val="hr-HR"/>
    </w:rPr>
  </w:style>
  <w:style w:type="character" w:customStyle="1" w:styleId="Heading1Char">
    <w:name w:val="Heading 1 Char"/>
    <w:basedOn w:val="DefaultParagraphFont"/>
    <w:link w:val="Heading1"/>
    <w:uiPriority w:val="9"/>
    <w:rsid w:val="00AB2F3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D314B"/>
    <w:rPr>
      <w:color w:val="800080" w:themeColor="followedHyperlink"/>
      <w:u w:val="single"/>
    </w:rPr>
  </w:style>
  <w:style w:type="paragraph" w:styleId="Revision">
    <w:name w:val="Revision"/>
    <w:hidden/>
    <w:uiPriority w:val="99"/>
    <w:semiHidden/>
    <w:rsid w:val="0026323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3232"/>
    <w:rPr>
      <w:sz w:val="16"/>
      <w:szCs w:val="16"/>
    </w:rPr>
  </w:style>
  <w:style w:type="paragraph" w:styleId="CommentText">
    <w:name w:val="annotation text"/>
    <w:basedOn w:val="Normal"/>
    <w:link w:val="CommentTextChar"/>
    <w:uiPriority w:val="99"/>
    <w:semiHidden/>
    <w:unhideWhenUsed/>
    <w:rsid w:val="00263232"/>
    <w:rPr>
      <w:sz w:val="20"/>
      <w:szCs w:val="20"/>
    </w:rPr>
  </w:style>
  <w:style w:type="character" w:customStyle="1" w:styleId="CommentTextChar">
    <w:name w:val="Comment Text Char"/>
    <w:basedOn w:val="DefaultParagraphFont"/>
    <w:link w:val="CommentText"/>
    <w:uiPriority w:val="99"/>
    <w:semiHidden/>
    <w:rsid w:val="002632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232"/>
    <w:rPr>
      <w:b/>
      <w:bCs/>
    </w:rPr>
  </w:style>
  <w:style w:type="character" w:customStyle="1" w:styleId="CommentSubjectChar">
    <w:name w:val="Comment Subject Char"/>
    <w:basedOn w:val="CommentTextChar"/>
    <w:link w:val="CommentSubject"/>
    <w:uiPriority w:val="99"/>
    <w:semiHidden/>
    <w:rsid w:val="00263232"/>
    <w:rPr>
      <w:rFonts w:ascii="Calibri" w:eastAsia="Calibri" w:hAnsi="Calibri" w:cs="Times New Roman"/>
      <w:b/>
      <w:bCs/>
      <w:sz w:val="20"/>
      <w:szCs w:val="20"/>
    </w:rPr>
  </w:style>
  <w:style w:type="table" w:styleId="TableGrid">
    <w:name w:val="Table Grid"/>
    <w:basedOn w:val="TableNormal"/>
    <w:uiPriority w:val="59"/>
    <w:rsid w:val="001C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110E"/>
    <w:rPr>
      <w:sz w:val="20"/>
      <w:szCs w:val="20"/>
    </w:rPr>
  </w:style>
  <w:style w:type="character" w:customStyle="1" w:styleId="FootnoteTextChar">
    <w:name w:val="Footnote Text Char"/>
    <w:basedOn w:val="DefaultParagraphFont"/>
    <w:link w:val="FootnoteText"/>
    <w:uiPriority w:val="99"/>
    <w:semiHidden/>
    <w:rsid w:val="001C110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C110E"/>
    <w:rPr>
      <w:vertAlign w:val="superscript"/>
    </w:rPr>
  </w:style>
  <w:style w:type="table" w:customStyle="1" w:styleId="MediumShading1-Accent11">
    <w:name w:val="Medium Shading 1 - Accent 11"/>
    <w:basedOn w:val="TableNormal"/>
    <w:uiPriority w:val="63"/>
    <w:rsid w:val="003748BA"/>
    <w:pPr>
      <w:spacing w:after="0" w:line="240" w:lineRule="auto"/>
    </w:pPr>
    <w:rPr>
      <w:lang w:val="hr-B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E503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50358"/>
    <w:rPr>
      <w:rFonts w:eastAsiaTheme="minorEastAsia"/>
      <w:lang w:eastAsia="ja-JP"/>
    </w:rPr>
  </w:style>
  <w:style w:type="table" w:styleId="LightShading-Accent1">
    <w:name w:val="Light Shading Accent 1"/>
    <w:basedOn w:val="TableNormal"/>
    <w:uiPriority w:val="60"/>
    <w:rsid w:val="004E36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ormal"/>
    <w:autoRedefine/>
    <w:uiPriority w:val="39"/>
    <w:unhideWhenUsed/>
    <w:rsid w:val="00084580"/>
    <w:pPr>
      <w:tabs>
        <w:tab w:val="left" w:pos="851"/>
        <w:tab w:val="right" w:leader="dot" w:pos="9498"/>
      </w:tabs>
      <w:spacing w:after="100"/>
      <w:ind w:left="851" w:hanging="851"/>
    </w:pPr>
  </w:style>
  <w:style w:type="paragraph" w:styleId="TOCHeading">
    <w:name w:val="TOC Heading"/>
    <w:basedOn w:val="Heading1"/>
    <w:next w:val="Normal"/>
    <w:uiPriority w:val="39"/>
    <w:semiHidden/>
    <w:unhideWhenUsed/>
    <w:qFormat/>
    <w:rsid w:val="00084580"/>
    <w:pPr>
      <w:spacing w:line="276" w:lineRule="auto"/>
      <w:outlineLvl w:val="9"/>
    </w:pPr>
    <w:rPr>
      <w:lang w:eastAsia="ja-JP"/>
    </w:rPr>
  </w:style>
  <w:style w:type="paragraph" w:styleId="TableofFigures">
    <w:name w:val="table of figures"/>
    <w:basedOn w:val="Normal"/>
    <w:next w:val="Normal"/>
    <w:uiPriority w:val="99"/>
    <w:unhideWhenUsed/>
    <w:rsid w:val="004904FF"/>
  </w:style>
</w:styles>
</file>

<file path=word/webSettings.xml><?xml version="1.0" encoding="utf-8"?>
<w:webSettings xmlns:r="http://schemas.openxmlformats.org/officeDocument/2006/relationships" xmlns:w="http://schemas.openxmlformats.org/wordprocessingml/2006/main">
  <w:divs>
    <w:div w:id="41026442">
      <w:bodyDiv w:val="1"/>
      <w:marLeft w:val="0"/>
      <w:marRight w:val="0"/>
      <w:marTop w:val="0"/>
      <w:marBottom w:val="0"/>
      <w:divBdr>
        <w:top w:val="none" w:sz="0" w:space="0" w:color="auto"/>
        <w:left w:val="none" w:sz="0" w:space="0" w:color="auto"/>
        <w:bottom w:val="none" w:sz="0" w:space="0" w:color="auto"/>
        <w:right w:val="none" w:sz="0" w:space="0" w:color="auto"/>
      </w:divBdr>
    </w:div>
    <w:div w:id="62879844">
      <w:bodyDiv w:val="1"/>
      <w:marLeft w:val="0"/>
      <w:marRight w:val="0"/>
      <w:marTop w:val="0"/>
      <w:marBottom w:val="0"/>
      <w:divBdr>
        <w:top w:val="none" w:sz="0" w:space="0" w:color="auto"/>
        <w:left w:val="none" w:sz="0" w:space="0" w:color="auto"/>
        <w:bottom w:val="none" w:sz="0" w:space="0" w:color="auto"/>
        <w:right w:val="none" w:sz="0" w:space="0" w:color="auto"/>
      </w:divBdr>
    </w:div>
    <w:div w:id="76754318">
      <w:bodyDiv w:val="1"/>
      <w:marLeft w:val="0"/>
      <w:marRight w:val="0"/>
      <w:marTop w:val="0"/>
      <w:marBottom w:val="0"/>
      <w:divBdr>
        <w:top w:val="none" w:sz="0" w:space="0" w:color="auto"/>
        <w:left w:val="none" w:sz="0" w:space="0" w:color="auto"/>
        <w:bottom w:val="none" w:sz="0" w:space="0" w:color="auto"/>
        <w:right w:val="none" w:sz="0" w:space="0" w:color="auto"/>
      </w:divBdr>
    </w:div>
    <w:div w:id="108818330">
      <w:bodyDiv w:val="1"/>
      <w:marLeft w:val="0"/>
      <w:marRight w:val="0"/>
      <w:marTop w:val="0"/>
      <w:marBottom w:val="0"/>
      <w:divBdr>
        <w:top w:val="none" w:sz="0" w:space="0" w:color="auto"/>
        <w:left w:val="none" w:sz="0" w:space="0" w:color="auto"/>
        <w:bottom w:val="none" w:sz="0" w:space="0" w:color="auto"/>
        <w:right w:val="none" w:sz="0" w:space="0" w:color="auto"/>
      </w:divBdr>
    </w:div>
    <w:div w:id="184485797">
      <w:bodyDiv w:val="1"/>
      <w:marLeft w:val="0"/>
      <w:marRight w:val="0"/>
      <w:marTop w:val="0"/>
      <w:marBottom w:val="0"/>
      <w:divBdr>
        <w:top w:val="none" w:sz="0" w:space="0" w:color="auto"/>
        <w:left w:val="none" w:sz="0" w:space="0" w:color="auto"/>
        <w:bottom w:val="none" w:sz="0" w:space="0" w:color="auto"/>
        <w:right w:val="none" w:sz="0" w:space="0" w:color="auto"/>
      </w:divBdr>
    </w:div>
    <w:div w:id="194124461">
      <w:bodyDiv w:val="1"/>
      <w:marLeft w:val="0"/>
      <w:marRight w:val="0"/>
      <w:marTop w:val="0"/>
      <w:marBottom w:val="0"/>
      <w:divBdr>
        <w:top w:val="none" w:sz="0" w:space="0" w:color="auto"/>
        <w:left w:val="none" w:sz="0" w:space="0" w:color="auto"/>
        <w:bottom w:val="none" w:sz="0" w:space="0" w:color="auto"/>
        <w:right w:val="none" w:sz="0" w:space="0" w:color="auto"/>
      </w:divBdr>
    </w:div>
    <w:div w:id="222260792">
      <w:bodyDiv w:val="1"/>
      <w:marLeft w:val="0"/>
      <w:marRight w:val="0"/>
      <w:marTop w:val="0"/>
      <w:marBottom w:val="0"/>
      <w:divBdr>
        <w:top w:val="none" w:sz="0" w:space="0" w:color="auto"/>
        <w:left w:val="none" w:sz="0" w:space="0" w:color="auto"/>
        <w:bottom w:val="none" w:sz="0" w:space="0" w:color="auto"/>
        <w:right w:val="none" w:sz="0" w:space="0" w:color="auto"/>
      </w:divBdr>
    </w:div>
    <w:div w:id="295380078">
      <w:bodyDiv w:val="1"/>
      <w:marLeft w:val="0"/>
      <w:marRight w:val="0"/>
      <w:marTop w:val="0"/>
      <w:marBottom w:val="0"/>
      <w:divBdr>
        <w:top w:val="none" w:sz="0" w:space="0" w:color="auto"/>
        <w:left w:val="none" w:sz="0" w:space="0" w:color="auto"/>
        <w:bottom w:val="none" w:sz="0" w:space="0" w:color="auto"/>
        <w:right w:val="none" w:sz="0" w:space="0" w:color="auto"/>
      </w:divBdr>
    </w:div>
    <w:div w:id="428432655">
      <w:bodyDiv w:val="1"/>
      <w:marLeft w:val="0"/>
      <w:marRight w:val="0"/>
      <w:marTop w:val="0"/>
      <w:marBottom w:val="0"/>
      <w:divBdr>
        <w:top w:val="none" w:sz="0" w:space="0" w:color="auto"/>
        <w:left w:val="none" w:sz="0" w:space="0" w:color="auto"/>
        <w:bottom w:val="none" w:sz="0" w:space="0" w:color="auto"/>
        <w:right w:val="none" w:sz="0" w:space="0" w:color="auto"/>
      </w:divBdr>
    </w:div>
    <w:div w:id="470947176">
      <w:bodyDiv w:val="1"/>
      <w:marLeft w:val="0"/>
      <w:marRight w:val="0"/>
      <w:marTop w:val="0"/>
      <w:marBottom w:val="0"/>
      <w:divBdr>
        <w:top w:val="none" w:sz="0" w:space="0" w:color="auto"/>
        <w:left w:val="none" w:sz="0" w:space="0" w:color="auto"/>
        <w:bottom w:val="none" w:sz="0" w:space="0" w:color="auto"/>
        <w:right w:val="none" w:sz="0" w:space="0" w:color="auto"/>
      </w:divBdr>
    </w:div>
    <w:div w:id="536771279">
      <w:bodyDiv w:val="1"/>
      <w:marLeft w:val="0"/>
      <w:marRight w:val="0"/>
      <w:marTop w:val="0"/>
      <w:marBottom w:val="0"/>
      <w:divBdr>
        <w:top w:val="none" w:sz="0" w:space="0" w:color="auto"/>
        <w:left w:val="none" w:sz="0" w:space="0" w:color="auto"/>
        <w:bottom w:val="none" w:sz="0" w:space="0" w:color="auto"/>
        <w:right w:val="none" w:sz="0" w:space="0" w:color="auto"/>
      </w:divBdr>
    </w:div>
    <w:div w:id="661196530">
      <w:bodyDiv w:val="1"/>
      <w:marLeft w:val="0"/>
      <w:marRight w:val="0"/>
      <w:marTop w:val="0"/>
      <w:marBottom w:val="0"/>
      <w:divBdr>
        <w:top w:val="none" w:sz="0" w:space="0" w:color="auto"/>
        <w:left w:val="none" w:sz="0" w:space="0" w:color="auto"/>
        <w:bottom w:val="none" w:sz="0" w:space="0" w:color="auto"/>
        <w:right w:val="none" w:sz="0" w:space="0" w:color="auto"/>
      </w:divBdr>
    </w:div>
    <w:div w:id="707150219">
      <w:bodyDiv w:val="1"/>
      <w:marLeft w:val="0"/>
      <w:marRight w:val="0"/>
      <w:marTop w:val="0"/>
      <w:marBottom w:val="0"/>
      <w:divBdr>
        <w:top w:val="none" w:sz="0" w:space="0" w:color="auto"/>
        <w:left w:val="none" w:sz="0" w:space="0" w:color="auto"/>
        <w:bottom w:val="none" w:sz="0" w:space="0" w:color="auto"/>
        <w:right w:val="none" w:sz="0" w:space="0" w:color="auto"/>
      </w:divBdr>
    </w:div>
    <w:div w:id="779108112">
      <w:bodyDiv w:val="1"/>
      <w:marLeft w:val="0"/>
      <w:marRight w:val="0"/>
      <w:marTop w:val="0"/>
      <w:marBottom w:val="0"/>
      <w:divBdr>
        <w:top w:val="none" w:sz="0" w:space="0" w:color="auto"/>
        <w:left w:val="none" w:sz="0" w:space="0" w:color="auto"/>
        <w:bottom w:val="none" w:sz="0" w:space="0" w:color="auto"/>
        <w:right w:val="none" w:sz="0" w:space="0" w:color="auto"/>
      </w:divBdr>
    </w:div>
    <w:div w:id="841357381">
      <w:bodyDiv w:val="1"/>
      <w:marLeft w:val="0"/>
      <w:marRight w:val="0"/>
      <w:marTop w:val="0"/>
      <w:marBottom w:val="0"/>
      <w:divBdr>
        <w:top w:val="none" w:sz="0" w:space="0" w:color="auto"/>
        <w:left w:val="none" w:sz="0" w:space="0" w:color="auto"/>
        <w:bottom w:val="none" w:sz="0" w:space="0" w:color="auto"/>
        <w:right w:val="none" w:sz="0" w:space="0" w:color="auto"/>
      </w:divBdr>
    </w:div>
    <w:div w:id="867916969">
      <w:bodyDiv w:val="1"/>
      <w:marLeft w:val="0"/>
      <w:marRight w:val="0"/>
      <w:marTop w:val="0"/>
      <w:marBottom w:val="0"/>
      <w:divBdr>
        <w:top w:val="none" w:sz="0" w:space="0" w:color="auto"/>
        <w:left w:val="none" w:sz="0" w:space="0" w:color="auto"/>
        <w:bottom w:val="none" w:sz="0" w:space="0" w:color="auto"/>
        <w:right w:val="none" w:sz="0" w:space="0" w:color="auto"/>
      </w:divBdr>
    </w:div>
    <w:div w:id="934822090">
      <w:bodyDiv w:val="1"/>
      <w:marLeft w:val="0"/>
      <w:marRight w:val="0"/>
      <w:marTop w:val="0"/>
      <w:marBottom w:val="0"/>
      <w:divBdr>
        <w:top w:val="none" w:sz="0" w:space="0" w:color="auto"/>
        <w:left w:val="none" w:sz="0" w:space="0" w:color="auto"/>
        <w:bottom w:val="none" w:sz="0" w:space="0" w:color="auto"/>
        <w:right w:val="none" w:sz="0" w:space="0" w:color="auto"/>
      </w:divBdr>
    </w:div>
    <w:div w:id="966469174">
      <w:bodyDiv w:val="1"/>
      <w:marLeft w:val="0"/>
      <w:marRight w:val="0"/>
      <w:marTop w:val="0"/>
      <w:marBottom w:val="0"/>
      <w:divBdr>
        <w:top w:val="none" w:sz="0" w:space="0" w:color="auto"/>
        <w:left w:val="none" w:sz="0" w:space="0" w:color="auto"/>
        <w:bottom w:val="none" w:sz="0" w:space="0" w:color="auto"/>
        <w:right w:val="none" w:sz="0" w:space="0" w:color="auto"/>
      </w:divBdr>
    </w:div>
    <w:div w:id="1005325041">
      <w:bodyDiv w:val="1"/>
      <w:marLeft w:val="0"/>
      <w:marRight w:val="0"/>
      <w:marTop w:val="0"/>
      <w:marBottom w:val="0"/>
      <w:divBdr>
        <w:top w:val="none" w:sz="0" w:space="0" w:color="auto"/>
        <w:left w:val="none" w:sz="0" w:space="0" w:color="auto"/>
        <w:bottom w:val="none" w:sz="0" w:space="0" w:color="auto"/>
        <w:right w:val="none" w:sz="0" w:space="0" w:color="auto"/>
      </w:divBdr>
    </w:div>
    <w:div w:id="1135492225">
      <w:bodyDiv w:val="1"/>
      <w:marLeft w:val="0"/>
      <w:marRight w:val="0"/>
      <w:marTop w:val="0"/>
      <w:marBottom w:val="0"/>
      <w:divBdr>
        <w:top w:val="none" w:sz="0" w:space="0" w:color="auto"/>
        <w:left w:val="none" w:sz="0" w:space="0" w:color="auto"/>
        <w:bottom w:val="none" w:sz="0" w:space="0" w:color="auto"/>
        <w:right w:val="none" w:sz="0" w:space="0" w:color="auto"/>
      </w:divBdr>
    </w:div>
    <w:div w:id="1214003368">
      <w:bodyDiv w:val="1"/>
      <w:marLeft w:val="0"/>
      <w:marRight w:val="0"/>
      <w:marTop w:val="0"/>
      <w:marBottom w:val="0"/>
      <w:divBdr>
        <w:top w:val="none" w:sz="0" w:space="0" w:color="auto"/>
        <w:left w:val="none" w:sz="0" w:space="0" w:color="auto"/>
        <w:bottom w:val="none" w:sz="0" w:space="0" w:color="auto"/>
        <w:right w:val="none" w:sz="0" w:space="0" w:color="auto"/>
      </w:divBdr>
    </w:div>
    <w:div w:id="1228031163">
      <w:bodyDiv w:val="1"/>
      <w:marLeft w:val="0"/>
      <w:marRight w:val="0"/>
      <w:marTop w:val="0"/>
      <w:marBottom w:val="0"/>
      <w:divBdr>
        <w:top w:val="none" w:sz="0" w:space="0" w:color="auto"/>
        <w:left w:val="none" w:sz="0" w:space="0" w:color="auto"/>
        <w:bottom w:val="none" w:sz="0" w:space="0" w:color="auto"/>
        <w:right w:val="none" w:sz="0" w:space="0" w:color="auto"/>
      </w:divBdr>
    </w:div>
    <w:div w:id="1260406735">
      <w:bodyDiv w:val="1"/>
      <w:marLeft w:val="0"/>
      <w:marRight w:val="0"/>
      <w:marTop w:val="0"/>
      <w:marBottom w:val="0"/>
      <w:divBdr>
        <w:top w:val="none" w:sz="0" w:space="0" w:color="auto"/>
        <w:left w:val="none" w:sz="0" w:space="0" w:color="auto"/>
        <w:bottom w:val="none" w:sz="0" w:space="0" w:color="auto"/>
        <w:right w:val="none" w:sz="0" w:space="0" w:color="auto"/>
      </w:divBdr>
    </w:div>
    <w:div w:id="1309284339">
      <w:bodyDiv w:val="1"/>
      <w:marLeft w:val="0"/>
      <w:marRight w:val="0"/>
      <w:marTop w:val="0"/>
      <w:marBottom w:val="0"/>
      <w:divBdr>
        <w:top w:val="none" w:sz="0" w:space="0" w:color="auto"/>
        <w:left w:val="none" w:sz="0" w:space="0" w:color="auto"/>
        <w:bottom w:val="none" w:sz="0" w:space="0" w:color="auto"/>
        <w:right w:val="none" w:sz="0" w:space="0" w:color="auto"/>
      </w:divBdr>
    </w:div>
    <w:div w:id="1312783857">
      <w:bodyDiv w:val="1"/>
      <w:marLeft w:val="0"/>
      <w:marRight w:val="0"/>
      <w:marTop w:val="0"/>
      <w:marBottom w:val="0"/>
      <w:divBdr>
        <w:top w:val="none" w:sz="0" w:space="0" w:color="auto"/>
        <w:left w:val="none" w:sz="0" w:space="0" w:color="auto"/>
        <w:bottom w:val="none" w:sz="0" w:space="0" w:color="auto"/>
        <w:right w:val="none" w:sz="0" w:space="0" w:color="auto"/>
      </w:divBdr>
    </w:div>
    <w:div w:id="1318613560">
      <w:bodyDiv w:val="1"/>
      <w:marLeft w:val="0"/>
      <w:marRight w:val="0"/>
      <w:marTop w:val="0"/>
      <w:marBottom w:val="0"/>
      <w:divBdr>
        <w:top w:val="none" w:sz="0" w:space="0" w:color="auto"/>
        <w:left w:val="none" w:sz="0" w:space="0" w:color="auto"/>
        <w:bottom w:val="none" w:sz="0" w:space="0" w:color="auto"/>
        <w:right w:val="none" w:sz="0" w:space="0" w:color="auto"/>
      </w:divBdr>
    </w:div>
    <w:div w:id="1368606285">
      <w:bodyDiv w:val="1"/>
      <w:marLeft w:val="0"/>
      <w:marRight w:val="0"/>
      <w:marTop w:val="0"/>
      <w:marBottom w:val="0"/>
      <w:divBdr>
        <w:top w:val="none" w:sz="0" w:space="0" w:color="auto"/>
        <w:left w:val="none" w:sz="0" w:space="0" w:color="auto"/>
        <w:bottom w:val="none" w:sz="0" w:space="0" w:color="auto"/>
        <w:right w:val="none" w:sz="0" w:space="0" w:color="auto"/>
      </w:divBdr>
    </w:div>
    <w:div w:id="1419714235">
      <w:bodyDiv w:val="1"/>
      <w:marLeft w:val="0"/>
      <w:marRight w:val="0"/>
      <w:marTop w:val="0"/>
      <w:marBottom w:val="0"/>
      <w:divBdr>
        <w:top w:val="none" w:sz="0" w:space="0" w:color="auto"/>
        <w:left w:val="none" w:sz="0" w:space="0" w:color="auto"/>
        <w:bottom w:val="none" w:sz="0" w:space="0" w:color="auto"/>
        <w:right w:val="none" w:sz="0" w:space="0" w:color="auto"/>
      </w:divBdr>
    </w:div>
    <w:div w:id="1479153361">
      <w:bodyDiv w:val="1"/>
      <w:marLeft w:val="0"/>
      <w:marRight w:val="0"/>
      <w:marTop w:val="0"/>
      <w:marBottom w:val="0"/>
      <w:divBdr>
        <w:top w:val="none" w:sz="0" w:space="0" w:color="auto"/>
        <w:left w:val="none" w:sz="0" w:space="0" w:color="auto"/>
        <w:bottom w:val="none" w:sz="0" w:space="0" w:color="auto"/>
        <w:right w:val="none" w:sz="0" w:space="0" w:color="auto"/>
      </w:divBdr>
    </w:div>
    <w:div w:id="1509712011">
      <w:bodyDiv w:val="1"/>
      <w:marLeft w:val="0"/>
      <w:marRight w:val="0"/>
      <w:marTop w:val="0"/>
      <w:marBottom w:val="0"/>
      <w:divBdr>
        <w:top w:val="none" w:sz="0" w:space="0" w:color="auto"/>
        <w:left w:val="none" w:sz="0" w:space="0" w:color="auto"/>
        <w:bottom w:val="none" w:sz="0" w:space="0" w:color="auto"/>
        <w:right w:val="none" w:sz="0" w:space="0" w:color="auto"/>
      </w:divBdr>
    </w:div>
    <w:div w:id="1538002455">
      <w:bodyDiv w:val="1"/>
      <w:marLeft w:val="0"/>
      <w:marRight w:val="0"/>
      <w:marTop w:val="0"/>
      <w:marBottom w:val="0"/>
      <w:divBdr>
        <w:top w:val="none" w:sz="0" w:space="0" w:color="auto"/>
        <w:left w:val="none" w:sz="0" w:space="0" w:color="auto"/>
        <w:bottom w:val="none" w:sz="0" w:space="0" w:color="auto"/>
        <w:right w:val="none" w:sz="0" w:space="0" w:color="auto"/>
      </w:divBdr>
    </w:div>
    <w:div w:id="1592545516">
      <w:bodyDiv w:val="1"/>
      <w:marLeft w:val="0"/>
      <w:marRight w:val="0"/>
      <w:marTop w:val="0"/>
      <w:marBottom w:val="0"/>
      <w:divBdr>
        <w:top w:val="none" w:sz="0" w:space="0" w:color="auto"/>
        <w:left w:val="none" w:sz="0" w:space="0" w:color="auto"/>
        <w:bottom w:val="none" w:sz="0" w:space="0" w:color="auto"/>
        <w:right w:val="none" w:sz="0" w:space="0" w:color="auto"/>
      </w:divBdr>
    </w:div>
    <w:div w:id="1602641117">
      <w:bodyDiv w:val="1"/>
      <w:marLeft w:val="0"/>
      <w:marRight w:val="0"/>
      <w:marTop w:val="0"/>
      <w:marBottom w:val="0"/>
      <w:divBdr>
        <w:top w:val="none" w:sz="0" w:space="0" w:color="auto"/>
        <w:left w:val="none" w:sz="0" w:space="0" w:color="auto"/>
        <w:bottom w:val="none" w:sz="0" w:space="0" w:color="auto"/>
        <w:right w:val="none" w:sz="0" w:space="0" w:color="auto"/>
      </w:divBdr>
    </w:div>
    <w:div w:id="1609698256">
      <w:bodyDiv w:val="1"/>
      <w:marLeft w:val="0"/>
      <w:marRight w:val="0"/>
      <w:marTop w:val="0"/>
      <w:marBottom w:val="0"/>
      <w:divBdr>
        <w:top w:val="none" w:sz="0" w:space="0" w:color="auto"/>
        <w:left w:val="none" w:sz="0" w:space="0" w:color="auto"/>
        <w:bottom w:val="none" w:sz="0" w:space="0" w:color="auto"/>
        <w:right w:val="none" w:sz="0" w:space="0" w:color="auto"/>
      </w:divBdr>
    </w:div>
    <w:div w:id="1657880336">
      <w:bodyDiv w:val="1"/>
      <w:marLeft w:val="0"/>
      <w:marRight w:val="0"/>
      <w:marTop w:val="0"/>
      <w:marBottom w:val="0"/>
      <w:divBdr>
        <w:top w:val="none" w:sz="0" w:space="0" w:color="auto"/>
        <w:left w:val="none" w:sz="0" w:space="0" w:color="auto"/>
        <w:bottom w:val="none" w:sz="0" w:space="0" w:color="auto"/>
        <w:right w:val="none" w:sz="0" w:space="0" w:color="auto"/>
      </w:divBdr>
    </w:div>
    <w:div w:id="1664430872">
      <w:bodyDiv w:val="1"/>
      <w:marLeft w:val="0"/>
      <w:marRight w:val="0"/>
      <w:marTop w:val="0"/>
      <w:marBottom w:val="0"/>
      <w:divBdr>
        <w:top w:val="none" w:sz="0" w:space="0" w:color="auto"/>
        <w:left w:val="none" w:sz="0" w:space="0" w:color="auto"/>
        <w:bottom w:val="none" w:sz="0" w:space="0" w:color="auto"/>
        <w:right w:val="none" w:sz="0" w:space="0" w:color="auto"/>
      </w:divBdr>
    </w:div>
    <w:div w:id="1673216330">
      <w:bodyDiv w:val="1"/>
      <w:marLeft w:val="0"/>
      <w:marRight w:val="0"/>
      <w:marTop w:val="0"/>
      <w:marBottom w:val="0"/>
      <w:divBdr>
        <w:top w:val="none" w:sz="0" w:space="0" w:color="auto"/>
        <w:left w:val="none" w:sz="0" w:space="0" w:color="auto"/>
        <w:bottom w:val="none" w:sz="0" w:space="0" w:color="auto"/>
        <w:right w:val="none" w:sz="0" w:space="0" w:color="auto"/>
      </w:divBdr>
    </w:div>
    <w:div w:id="1687781319">
      <w:bodyDiv w:val="1"/>
      <w:marLeft w:val="0"/>
      <w:marRight w:val="0"/>
      <w:marTop w:val="0"/>
      <w:marBottom w:val="0"/>
      <w:divBdr>
        <w:top w:val="none" w:sz="0" w:space="0" w:color="auto"/>
        <w:left w:val="none" w:sz="0" w:space="0" w:color="auto"/>
        <w:bottom w:val="none" w:sz="0" w:space="0" w:color="auto"/>
        <w:right w:val="none" w:sz="0" w:space="0" w:color="auto"/>
      </w:divBdr>
    </w:div>
    <w:div w:id="1771201660">
      <w:bodyDiv w:val="1"/>
      <w:marLeft w:val="0"/>
      <w:marRight w:val="0"/>
      <w:marTop w:val="0"/>
      <w:marBottom w:val="0"/>
      <w:divBdr>
        <w:top w:val="none" w:sz="0" w:space="0" w:color="auto"/>
        <w:left w:val="none" w:sz="0" w:space="0" w:color="auto"/>
        <w:bottom w:val="none" w:sz="0" w:space="0" w:color="auto"/>
        <w:right w:val="none" w:sz="0" w:space="0" w:color="auto"/>
      </w:divBdr>
    </w:div>
    <w:div w:id="1816339235">
      <w:bodyDiv w:val="1"/>
      <w:marLeft w:val="0"/>
      <w:marRight w:val="0"/>
      <w:marTop w:val="0"/>
      <w:marBottom w:val="0"/>
      <w:divBdr>
        <w:top w:val="none" w:sz="0" w:space="0" w:color="auto"/>
        <w:left w:val="none" w:sz="0" w:space="0" w:color="auto"/>
        <w:bottom w:val="none" w:sz="0" w:space="0" w:color="auto"/>
        <w:right w:val="none" w:sz="0" w:space="0" w:color="auto"/>
      </w:divBdr>
    </w:div>
    <w:div w:id="1827744182">
      <w:bodyDiv w:val="1"/>
      <w:marLeft w:val="0"/>
      <w:marRight w:val="0"/>
      <w:marTop w:val="0"/>
      <w:marBottom w:val="0"/>
      <w:divBdr>
        <w:top w:val="none" w:sz="0" w:space="0" w:color="auto"/>
        <w:left w:val="none" w:sz="0" w:space="0" w:color="auto"/>
        <w:bottom w:val="none" w:sz="0" w:space="0" w:color="auto"/>
        <w:right w:val="none" w:sz="0" w:space="0" w:color="auto"/>
      </w:divBdr>
    </w:div>
    <w:div w:id="1829206566">
      <w:bodyDiv w:val="1"/>
      <w:marLeft w:val="0"/>
      <w:marRight w:val="0"/>
      <w:marTop w:val="0"/>
      <w:marBottom w:val="0"/>
      <w:divBdr>
        <w:top w:val="none" w:sz="0" w:space="0" w:color="auto"/>
        <w:left w:val="none" w:sz="0" w:space="0" w:color="auto"/>
        <w:bottom w:val="none" w:sz="0" w:space="0" w:color="auto"/>
        <w:right w:val="none" w:sz="0" w:space="0" w:color="auto"/>
      </w:divBdr>
    </w:div>
    <w:div w:id="1940723132">
      <w:bodyDiv w:val="1"/>
      <w:marLeft w:val="0"/>
      <w:marRight w:val="0"/>
      <w:marTop w:val="0"/>
      <w:marBottom w:val="0"/>
      <w:divBdr>
        <w:top w:val="none" w:sz="0" w:space="0" w:color="auto"/>
        <w:left w:val="none" w:sz="0" w:space="0" w:color="auto"/>
        <w:bottom w:val="none" w:sz="0" w:space="0" w:color="auto"/>
        <w:right w:val="none" w:sz="0" w:space="0" w:color="auto"/>
      </w:divBdr>
    </w:div>
    <w:div w:id="1958759862">
      <w:bodyDiv w:val="1"/>
      <w:marLeft w:val="0"/>
      <w:marRight w:val="0"/>
      <w:marTop w:val="0"/>
      <w:marBottom w:val="0"/>
      <w:divBdr>
        <w:top w:val="none" w:sz="0" w:space="0" w:color="auto"/>
        <w:left w:val="none" w:sz="0" w:space="0" w:color="auto"/>
        <w:bottom w:val="none" w:sz="0" w:space="0" w:color="auto"/>
        <w:right w:val="none" w:sz="0" w:space="0" w:color="auto"/>
      </w:divBdr>
    </w:div>
    <w:div w:id="1977366458">
      <w:bodyDiv w:val="1"/>
      <w:marLeft w:val="0"/>
      <w:marRight w:val="0"/>
      <w:marTop w:val="0"/>
      <w:marBottom w:val="0"/>
      <w:divBdr>
        <w:top w:val="none" w:sz="0" w:space="0" w:color="auto"/>
        <w:left w:val="none" w:sz="0" w:space="0" w:color="auto"/>
        <w:bottom w:val="none" w:sz="0" w:space="0" w:color="auto"/>
        <w:right w:val="none" w:sz="0" w:space="0" w:color="auto"/>
      </w:divBdr>
    </w:div>
    <w:div w:id="21055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ladatk.kim.ba/Vlada/Novosti_2018/strat_raz_dok/Javni_poziv_za_ucesce_u_izradi_Akcionog_plana_SR_TK.pdf" TargetMode="Externa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vladatk.kim.ba/Vlada/Novosti_2014/strategija/Strategija_razvoja_TK_za_period_2016_2020god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1C93E8-FB70-4B29-B461-FC307701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4753</Words>
  <Characters>27095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Operativni/ Akcioni plan</vt:lpstr>
    </vt:vector>
  </TitlesOfParts>
  <Company>Vlada Tuzlanskog Kantona</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Operativni/ Akcioni plan</dc:title>
  <dc:subject>Strategije razvoja Tuzlanskog kantona za period 2016. – 2020. godina</dc:subject>
  <dc:creator>MORP_Sejo</dc:creator>
  <cp:lastModifiedBy>MORP_Sejo</cp:lastModifiedBy>
  <cp:revision>5</cp:revision>
  <cp:lastPrinted>2018-01-16T14:12:00Z</cp:lastPrinted>
  <dcterms:created xsi:type="dcterms:W3CDTF">2018-12-19T14:30:00Z</dcterms:created>
  <dcterms:modified xsi:type="dcterms:W3CDTF">2018-12-20T08:46:00Z</dcterms:modified>
</cp:coreProperties>
</file>